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0BD02" w14:textId="4AA1B858" w:rsidR="0061619E" w:rsidRPr="0061619E" w:rsidRDefault="0061619E" w:rsidP="0061619E">
      <w:pPr>
        <w:spacing w:line="240" w:lineRule="auto"/>
        <w:jc w:val="center"/>
        <w:rPr>
          <w:rFonts w:cs="Times New Roman"/>
          <w:b/>
          <w:szCs w:val="24"/>
        </w:rPr>
      </w:pPr>
      <w:r w:rsidRPr="0061619E">
        <w:rPr>
          <w:rFonts w:cs="Times New Roman"/>
          <w:b/>
          <w:szCs w:val="24"/>
        </w:rPr>
        <w:t>SOAH DOCKET NO. 473-21-0247</w:t>
      </w:r>
    </w:p>
    <w:p w14:paraId="33CFCC7F" w14:textId="77777777" w:rsidR="0061619E" w:rsidRPr="0061619E" w:rsidRDefault="0061619E" w:rsidP="0061619E">
      <w:pPr>
        <w:spacing w:line="240" w:lineRule="auto"/>
        <w:jc w:val="center"/>
        <w:rPr>
          <w:rFonts w:cs="Times New Roman"/>
          <w:b/>
          <w:szCs w:val="24"/>
        </w:rPr>
      </w:pPr>
      <w:r w:rsidRPr="0061619E">
        <w:rPr>
          <w:rFonts w:cs="Times New Roman"/>
          <w:b/>
          <w:szCs w:val="24"/>
        </w:rPr>
        <w:t>PUC DOCKET NO. 51023</w:t>
      </w:r>
    </w:p>
    <w:p w14:paraId="45E4E4A6" w14:textId="77777777" w:rsidR="0061619E" w:rsidRPr="0061619E" w:rsidRDefault="0061619E" w:rsidP="0061619E">
      <w:pPr>
        <w:spacing w:line="240" w:lineRule="auto"/>
        <w:jc w:val="center"/>
        <w:rPr>
          <w:rFonts w:cs="Times New Roman"/>
          <w:b/>
          <w:szCs w:val="24"/>
        </w:rPr>
      </w:pPr>
    </w:p>
    <w:tbl>
      <w:tblPr>
        <w:tblStyle w:val="TableGrid"/>
        <w:tblW w:w="9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040"/>
        <w:gridCol w:w="360"/>
        <w:gridCol w:w="4308"/>
      </w:tblGrid>
      <w:tr w:rsidR="0061619E" w:rsidRPr="0061619E" w14:paraId="21E6DC03" w14:textId="77777777" w:rsidTr="009E5BEB">
        <w:trPr>
          <w:trHeight w:val="2052"/>
        </w:trPr>
        <w:tc>
          <w:tcPr>
            <w:tcW w:w="5040" w:type="dxa"/>
          </w:tcPr>
          <w:p w14:paraId="79249D33" w14:textId="77777777" w:rsidR="0061619E" w:rsidRPr="0061619E" w:rsidRDefault="0061619E" w:rsidP="002758FC">
            <w:pPr>
              <w:spacing w:line="240" w:lineRule="auto"/>
              <w:rPr>
                <w:b/>
                <w:szCs w:val="24"/>
              </w:rPr>
            </w:pPr>
            <w:r w:rsidRPr="0061619E">
              <w:rPr>
                <w:b/>
                <w:szCs w:val="24"/>
              </w:rPr>
              <w:t xml:space="preserve">APPLICATION OF THE CITY OF SAN ANTONIO ACTING BY AND THROUGH THE CITY PUBLIC SERVICE BOARD (CPS ENERGY) TO AMEND ITS CERTIFICATE OF CONVENIENCE AND NECESSITY FOR THE PROPOSED SCENIC LOOP 138-KV TRANSMISSION LINE </w:t>
            </w:r>
          </w:p>
        </w:tc>
        <w:tc>
          <w:tcPr>
            <w:tcW w:w="360" w:type="dxa"/>
            <w:hideMark/>
          </w:tcPr>
          <w:p w14:paraId="0CAFB91F" w14:textId="77777777" w:rsidR="0061619E" w:rsidRPr="0061619E" w:rsidRDefault="0061619E" w:rsidP="002758FC">
            <w:pPr>
              <w:spacing w:line="240" w:lineRule="auto"/>
              <w:jc w:val="center"/>
              <w:rPr>
                <w:b/>
                <w:szCs w:val="24"/>
              </w:rPr>
            </w:pPr>
            <w:r w:rsidRPr="0061619E">
              <w:rPr>
                <w:b/>
                <w:szCs w:val="24"/>
              </w:rPr>
              <w:t>§</w:t>
            </w:r>
          </w:p>
          <w:p w14:paraId="4C5D9D06" w14:textId="77777777" w:rsidR="0061619E" w:rsidRPr="0061619E" w:rsidRDefault="0061619E" w:rsidP="002758FC">
            <w:pPr>
              <w:spacing w:line="240" w:lineRule="auto"/>
              <w:jc w:val="center"/>
              <w:rPr>
                <w:b/>
                <w:szCs w:val="24"/>
              </w:rPr>
            </w:pPr>
            <w:r w:rsidRPr="0061619E">
              <w:rPr>
                <w:b/>
                <w:szCs w:val="24"/>
              </w:rPr>
              <w:t>§</w:t>
            </w:r>
          </w:p>
          <w:p w14:paraId="3E5DC2F3" w14:textId="77777777" w:rsidR="0061619E" w:rsidRPr="0061619E" w:rsidRDefault="0061619E" w:rsidP="002758FC">
            <w:pPr>
              <w:spacing w:line="240" w:lineRule="auto"/>
              <w:jc w:val="center"/>
              <w:rPr>
                <w:b/>
                <w:szCs w:val="24"/>
              </w:rPr>
            </w:pPr>
            <w:r w:rsidRPr="0061619E">
              <w:rPr>
                <w:b/>
                <w:szCs w:val="24"/>
              </w:rPr>
              <w:t>§</w:t>
            </w:r>
          </w:p>
          <w:p w14:paraId="2E0CC0F7" w14:textId="77777777" w:rsidR="0061619E" w:rsidRPr="0061619E" w:rsidRDefault="0061619E" w:rsidP="002758FC">
            <w:pPr>
              <w:spacing w:line="240" w:lineRule="auto"/>
              <w:jc w:val="center"/>
              <w:rPr>
                <w:b/>
                <w:szCs w:val="24"/>
              </w:rPr>
            </w:pPr>
            <w:r w:rsidRPr="0061619E">
              <w:rPr>
                <w:b/>
                <w:szCs w:val="24"/>
              </w:rPr>
              <w:t>§</w:t>
            </w:r>
          </w:p>
          <w:p w14:paraId="3A5391A8" w14:textId="77777777" w:rsidR="0061619E" w:rsidRPr="0061619E" w:rsidRDefault="0061619E" w:rsidP="002758FC">
            <w:pPr>
              <w:spacing w:line="240" w:lineRule="auto"/>
              <w:jc w:val="center"/>
              <w:rPr>
                <w:b/>
                <w:szCs w:val="24"/>
              </w:rPr>
            </w:pPr>
            <w:r w:rsidRPr="0061619E">
              <w:rPr>
                <w:b/>
                <w:szCs w:val="24"/>
              </w:rPr>
              <w:t>§</w:t>
            </w:r>
          </w:p>
          <w:p w14:paraId="3307B046" w14:textId="77777777" w:rsidR="0061619E" w:rsidRPr="0061619E" w:rsidRDefault="0061619E" w:rsidP="002758FC">
            <w:pPr>
              <w:spacing w:line="240" w:lineRule="auto"/>
              <w:jc w:val="center"/>
              <w:rPr>
                <w:b/>
                <w:szCs w:val="24"/>
              </w:rPr>
            </w:pPr>
            <w:r w:rsidRPr="0061619E">
              <w:rPr>
                <w:b/>
                <w:szCs w:val="24"/>
              </w:rPr>
              <w:t>§</w:t>
            </w:r>
          </w:p>
          <w:p w14:paraId="77D98F35" w14:textId="0850F990" w:rsidR="0061619E" w:rsidRPr="0061619E" w:rsidRDefault="0061619E" w:rsidP="002758FC">
            <w:pPr>
              <w:spacing w:line="240" w:lineRule="auto"/>
              <w:jc w:val="center"/>
              <w:rPr>
                <w:b/>
                <w:szCs w:val="24"/>
              </w:rPr>
            </w:pPr>
            <w:r w:rsidRPr="0061619E">
              <w:rPr>
                <w:b/>
                <w:szCs w:val="24"/>
              </w:rPr>
              <w:t>§</w:t>
            </w:r>
          </w:p>
        </w:tc>
        <w:tc>
          <w:tcPr>
            <w:tcW w:w="4308" w:type="dxa"/>
            <w:hideMark/>
          </w:tcPr>
          <w:p w14:paraId="7057ED38" w14:textId="77777777" w:rsidR="0061619E" w:rsidRPr="0061619E" w:rsidRDefault="0061619E" w:rsidP="002758FC">
            <w:pPr>
              <w:spacing w:line="240" w:lineRule="auto"/>
              <w:jc w:val="center"/>
              <w:rPr>
                <w:b/>
                <w:szCs w:val="24"/>
              </w:rPr>
            </w:pPr>
            <w:r w:rsidRPr="0061619E">
              <w:rPr>
                <w:b/>
                <w:szCs w:val="24"/>
              </w:rPr>
              <w:t>BEFORE THE STATE OFFICE</w:t>
            </w:r>
          </w:p>
          <w:p w14:paraId="78347F0B" w14:textId="77777777" w:rsidR="0061619E" w:rsidRPr="0061619E" w:rsidRDefault="0061619E" w:rsidP="002758FC">
            <w:pPr>
              <w:spacing w:line="240" w:lineRule="auto"/>
              <w:jc w:val="center"/>
              <w:rPr>
                <w:b/>
                <w:szCs w:val="24"/>
              </w:rPr>
            </w:pPr>
          </w:p>
          <w:p w14:paraId="77F65D1E" w14:textId="77777777" w:rsidR="0061619E" w:rsidRPr="0061619E" w:rsidRDefault="0061619E" w:rsidP="002758FC">
            <w:pPr>
              <w:spacing w:line="240" w:lineRule="auto"/>
              <w:jc w:val="center"/>
              <w:rPr>
                <w:b/>
                <w:szCs w:val="24"/>
              </w:rPr>
            </w:pPr>
          </w:p>
          <w:p w14:paraId="7CB2A18D" w14:textId="77777777" w:rsidR="0061619E" w:rsidRPr="0061619E" w:rsidRDefault="0061619E" w:rsidP="002758FC">
            <w:pPr>
              <w:spacing w:line="240" w:lineRule="auto"/>
              <w:jc w:val="center"/>
              <w:rPr>
                <w:b/>
                <w:szCs w:val="24"/>
              </w:rPr>
            </w:pPr>
            <w:r w:rsidRPr="0061619E">
              <w:rPr>
                <w:b/>
                <w:szCs w:val="24"/>
              </w:rPr>
              <w:t>OF</w:t>
            </w:r>
          </w:p>
          <w:p w14:paraId="6BEC9D26" w14:textId="77777777" w:rsidR="0061619E" w:rsidRPr="0061619E" w:rsidRDefault="0061619E" w:rsidP="002758FC">
            <w:pPr>
              <w:spacing w:line="240" w:lineRule="auto"/>
              <w:jc w:val="center"/>
              <w:rPr>
                <w:b/>
                <w:szCs w:val="24"/>
              </w:rPr>
            </w:pPr>
          </w:p>
          <w:p w14:paraId="6F55AF9E" w14:textId="77777777" w:rsidR="0061619E" w:rsidRPr="0061619E" w:rsidRDefault="0061619E" w:rsidP="002758FC">
            <w:pPr>
              <w:spacing w:line="240" w:lineRule="auto"/>
              <w:jc w:val="center"/>
              <w:rPr>
                <w:b/>
                <w:szCs w:val="24"/>
              </w:rPr>
            </w:pPr>
          </w:p>
          <w:p w14:paraId="453F2122" w14:textId="77777777" w:rsidR="0061619E" w:rsidRPr="0061619E" w:rsidRDefault="0061619E" w:rsidP="002758FC">
            <w:pPr>
              <w:spacing w:line="240" w:lineRule="auto"/>
              <w:jc w:val="center"/>
              <w:rPr>
                <w:b/>
                <w:szCs w:val="24"/>
              </w:rPr>
            </w:pPr>
            <w:r w:rsidRPr="0061619E">
              <w:rPr>
                <w:b/>
                <w:szCs w:val="24"/>
              </w:rPr>
              <w:t>ADMINISTRATIVE HEARINGS</w:t>
            </w:r>
          </w:p>
        </w:tc>
      </w:tr>
    </w:tbl>
    <w:p w14:paraId="543E9DDE" w14:textId="30427408" w:rsidR="0061619E" w:rsidRDefault="0061619E" w:rsidP="0061619E">
      <w:pPr>
        <w:spacing w:line="240" w:lineRule="auto"/>
        <w:rPr>
          <w:rFonts w:cs="Times New Roman"/>
          <w:szCs w:val="24"/>
        </w:rPr>
      </w:pPr>
    </w:p>
    <w:p w14:paraId="40A9E781" w14:textId="77777777" w:rsidR="00BA7DEC" w:rsidRPr="00BA7DEC" w:rsidRDefault="00BA7DEC" w:rsidP="00BA7DEC">
      <w:pPr>
        <w:spacing w:line="240" w:lineRule="auto"/>
        <w:jc w:val="center"/>
        <w:rPr>
          <w:rFonts w:cs="Times New Roman"/>
          <w:szCs w:val="24"/>
        </w:rPr>
      </w:pPr>
      <w:r w:rsidRPr="00BA7DEC">
        <w:rPr>
          <w:rFonts w:cs="Times New Roman"/>
          <w:b/>
          <w:bCs/>
          <w:szCs w:val="24"/>
        </w:rPr>
        <w:t>ANAQUA SPRINGS HOMEOWNERS’ ASSOCIATION</w:t>
      </w:r>
    </w:p>
    <w:p w14:paraId="09AC8510" w14:textId="2D6DE6C2" w:rsidR="00AC545B" w:rsidRDefault="00AC545B" w:rsidP="00AC545B">
      <w:pPr>
        <w:spacing w:line="240" w:lineRule="auto"/>
        <w:jc w:val="center"/>
        <w:rPr>
          <w:rFonts w:cs="Times New Roman"/>
          <w:b/>
          <w:bCs/>
          <w:szCs w:val="24"/>
          <w:u w:val="single"/>
        </w:rPr>
      </w:pPr>
      <w:r w:rsidRPr="00BA7DEC">
        <w:rPr>
          <w:rFonts w:cs="Times New Roman"/>
          <w:b/>
          <w:bCs/>
          <w:szCs w:val="24"/>
          <w:u w:val="single"/>
        </w:rPr>
        <w:t>POST-HEARING</w:t>
      </w:r>
      <w:r w:rsidR="00B82130">
        <w:rPr>
          <w:rFonts w:cs="Times New Roman"/>
          <w:b/>
          <w:bCs/>
          <w:szCs w:val="24"/>
          <w:u w:val="single"/>
        </w:rPr>
        <w:t xml:space="preserve"> REPLY</w:t>
      </w:r>
      <w:r w:rsidRPr="00BA7DEC">
        <w:rPr>
          <w:rFonts w:cs="Times New Roman"/>
          <w:b/>
          <w:bCs/>
          <w:szCs w:val="24"/>
          <w:u w:val="single"/>
        </w:rPr>
        <w:t xml:space="preserve"> BRIEF</w:t>
      </w:r>
    </w:p>
    <w:p w14:paraId="6C3A6B2D" w14:textId="182EA139" w:rsidR="00B57ECB" w:rsidRDefault="00B57ECB" w:rsidP="00AC545B">
      <w:pPr>
        <w:spacing w:line="240" w:lineRule="auto"/>
        <w:jc w:val="center"/>
        <w:rPr>
          <w:rFonts w:cs="Times New Roman"/>
          <w:b/>
          <w:bCs/>
          <w:szCs w:val="24"/>
          <w:u w:val="single"/>
        </w:rPr>
      </w:pPr>
    </w:p>
    <w:p w14:paraId="4FEBD58F" w14:textId="77777777" w:rsidR="00B57ECB" w:rsidRPr="00BA7DEC" w:rsidRDefault="00B57ECB" w:rsidP="00AC545B">
      <w:pPr>
        <w:spacing w:line="240" w:lineRule="auto"/>
        <w:jc w:val="center"/>
        <w:rPr>
          <w:rFonts w:cs="Times New Roman"/>
          <w:b/>
          <w:bCs/>
          <w:szCs w:val="24"/>
          <w:u w:val="single"/>
        </w:rPr>
      </w:pPr>
    </w:p>
    <w:p w14:paraId="5BDA9AA3" w14:textId="5DB64B10" w:rsidR="007B25CD" w:rsidRDefault="007B25CD" w:rsidP="007B25CD">
      <w:pPr>
        <w:jc w:val="center"/>
        <w:rPr>
          <w:rFonts w:cs="Times New Roman"/>
          <w:b/>
          <w:bCs/>
          <w:szCs w:val="24"/>
        </w:rPr>
      </w:pPr>
      <w:r w:rsidRPr="007B25CD">
        <w:rPr>
          <w:rFonts w:cs="Times New Roman"/>
          <w:b/>
          <w:bCs/>
          <w:szCs w:val="24"/>
        </w:rPr>
        <w:t>TABLE OF CONTENTS</w:t>
      </w:r>
    </w:p>
    <w:sdt>
      <w:sdtPr>
        <w:rPr>
          <w:rFonts w:eastAsiaTheme="minorHAnsi"/>
          <w:noProof w:val="0"/>
        </w:rPr>
        <w:id w:val="-1235241903"/>
        <w:docPartObj>
          <w:docPartGallery w:val="Table of Contents"/>
          <w:docPartUnique/>
        </w:docPartObj>
      </w:sdtPr>
      <w:sdtEndPr>
        <w:rPr>
          <w:rFonts w:eastAsiaTheme="minorEastAsia"/>
          <w:b/>
          <w:bCs/>
          <w:noProof/>
        </w:rPr>
      </w:sdtEndPr>
      <w:sdtContent>
        <w:p w14:paraId="3CFCC85C" w14:textId="14AFE2E5" w:rsidR="003820AF" w:rsidRDefault="00C76A5F">
          <w:pPr>
            <w:pStyle w:val="TOC1"/>
            <w:rPr>
              <w:rFonts w:asciiTheme="minorHAnsi" w:hAnsiTheme="minorHAnsi"/>
              <w:sz w:val="22"/>
            </w:rPr>
          </w:pPr>
          <w:r>
            <w:fldChar w:fldCharType="begin"/>
          </w:r>
          <w:r>
            <w:instrText xml:space="preserve"> TOC \o "1-4" \h \z \u </w:instrText>
          </w:r>
          <w:r>
            <w:fldChar w:fldCharType="separate"/>
          </w:r>
          <w:hyperlink w:anchor="_Toc73025943" w:history="1">
            <w:r w:rsidR="003820AF" w:rsidRPr="000A70BC">
              <w:rPr>
                <w:rStyle w:val="Hyperlink"/>
              </w:rPr>
              <w:t>I.</w:t>
            </w:r>
            <w:r w:rsidR="003820AF">
              <w:rPr>
                <w:rFonts w:asciiTheme="minorHAnsi" w:hAnsiTheme="minorHAnsi"/>
                <w:sz w:val="22"/>
              </w:rPr>
              <w:tab/>
            </w:r>
            <w:r w:rsidR="003820AF" w:rsidRPr="000A70BC">
              <w:rPr>
                <w:rStyle w:val="Hyperlink"/>
              </w:rPr>
              <w:t>INTRODUCTION</w:t>
            </w:r>
            <w:r w:rsidR="003820AF">
              <w:rPr>
                <w:webHidden/>
              </w:rPr>
              <w:tab/>
            </w:r>
            <w:r w:rsidR="003820AF">
              <w:rPr>
                <w:webHidden/>
              </w:rPr>
              <w:fldChar w:fldCharType="begin"/>
            </w:r>
            <w:r w:rsidR="003820AF">
              <w:rPr>
                <w:webHidden/>
              </w:rPr>
              <w:instrText xml:space="preserve"> PAGEREF _Toc73025943 \h </w:instrText>
            </w:r>
            <w:r w:rsidR="003820AF">
              <w:rPr>
                <w:webHidden/>
              </w:rPr>
            </w:r>
            <w:r w:rsidR="003820AF">
              <w:rPr>
                <w:webHidden/>
              </w:rPr>
              <w:fldChar w:fldCharType="separate"/>
            </w:r>
            <w:r w:rsidR="00B57ECB">
              <w:rPr>
                <w:webHidden/>
              </w:rPr>
              <w:t>2</w:t>
            </w:r>
            <w:r w:rsidR="003820AF">
              <w:rPr>
                <w:webHidden/>
              </w:rPr>
              <w:fldChar w:fldCharType="end"/>
            </w:r>
          </w:hyperlink>
        </w:p>
        <w:p w14:paraId="489F456B" w14:textId="71E1B634" w:rsidR="003820AF" w:rsidRDefault="00B57ECB">
          <w:pPr>
            <w:pStyle w:val="TOC1"/>
            <w:rPr>
              <w:rFonts w:asciiTheme="minorHAnsi" w:hAnsiTheme="minorHAnsi"/>
              <w:sz w:val="22"/>
            </w:rPr>
          </w:pPr>
          <w:hyperlink w:anchor="_Toc73025944" w:history="1">
            <w:r w:rsidR="003820AF" w:rsidRPr="000A70BC">
              <w:rPr>
                <w:rStyle w:val="Hyperlink"/>
              </w:rPr>
              <w:t>II.</w:t>
            </w:r>
            <w:r w:rsidR="003820AF">
              <w:rPr>
                <w:rFonts w:asciiTheme="minorHAnsi" w:hAnsiTheme="minorHAnsi"/>
                <w:sz w:val="22"/>
              </w:rPr>
              <w:tab/>
            </w:r>
            <w:r w:rsidR="003820AF" w:rsidRPr="000A70BC">
              <w:rPr>
                <w:rStyle w:val="Hyperlink"/>
              </w:rPr>
              <w:t>JURISDICTION AND NOTICE</w:t>
            </w:r>
            <w:r w:rsidR="003820AF">
              <w:rPr>
                <w:webHidden/>
              </w:rPr>
              <w:tab/>
            </w:r>
            <w:r w:rsidR="003820AF">
              <w:rPr>
                <w:webHidden/>
              </w:rPr>
              <w:fldChar w:fldCharType="begin"/>
            </w:r>
            <w:r w:rsidR="003820AF">
              <w:rPr>
                <w:webHidden/>
              </w:rPr>
              <w:instrText xml:space="preserve"> PAGEREF _Toc73025944 \h </w:instrText>
            </w:r>
            <w:r w:rsidR="003820AF">
              <w:rPr>
                <w:webHidden/>
              </w:rPr>
            </w:r>
            <w:r w:rsidR="003820AF">
              <w:rPr>
                <w:webHidden/>
              </w:rPr>
              <w:fldChar w:fldCharType="separate"/>
            </w:r>
            <w:r>
              <w:rPr>
                <w:webHidden/>
              </w:rPr>
              <w:t>2</w:t>
            </w:r>
            <w:r w:rsidR="003820AF">
              <w:rPr>
                <w:webHidden/>
              </w:rPr>
              <w:fldChar w:fldCharType="end"/>
            </w:r>
          </w:hyperlink>
        </w:p>
        <w:p w14:paraId="2136E51A" w14:textId="5EDACA0B" w:rsidR="003820AF" w:rsidRDefault="00B57ECB" w:rsidP="003820AF">
          <w:pPr>
            <w:pStyle w:val="TOC1"/>
            <w:ind w:left="720" w:hanging="720"/>
            <w:rPr>
              <w:rFonts w:asciiTheme="minorHAnsi" w:hAnsiTheme="minorHAnsi"/>
              <w:sz w:val="22"/>
            </w:rPr>
          </w:pPr>
          <w:hyperlink w:anchor="_Toc73025945" w:history="1">
            <w:r w:rsidR="003820AF" w:rsidRPr="000A70BC">
              <w:rPr>
                <w:rStyle w:val="Hyperlink"/>
              </w:rPr>
              <w:t>III.</w:t>
            </w:r>
            <w:r w:rsidR="003820AF">
              <w:rPr>
                <w:rFonts w:asciiTheme="minorHAnsi" w:hAnsiTheme="minorHAnsi"/>
                <w:sz w:val="22"/>
              </w:rPr>
              <w:tab/>
            </w:r>
            <w:r w:rsidR="003820AF" w:rsidRPr="000A70BC">
              <w:rPr>
                <w:rStyle w:val="Hyperlink"/>
              </w:rPr>
              <w:t>PRELIMINARY ORDER ISSUE 4: Which proposed transmission line route is the best alternative weighing the factors set forth in PURA § 37.056(c) and 16 TAC § 25.101(b)(3)(B)?</w:t>
            </w:r>
            <w:r w:rsidR="003820AF">
              <w:rPr>
                <w:webHidden/>
              </w:rPr>
              <w:tab/>
            </w:r>
            <w:r w:rsidR="003820AF">
              <w:rPr>
                <w:webHidden/>
              </w:rPr>
              <w:fldChar w:fldCharType="begin"/>
            </w:r>
            <w:r w:rsidR="003820AF">
              <w:rPr>
                <w:webHidden/>
              </w:rPr>
              <w:instrText xml:space="preserve"> PAGEREF _Toc73025945 \h </w:instrText>
            </w:r>
            <w:r w:rsidR="003820AF">
              <w:rPr>
                <w:webHidden/>
              </w:rPr>
            </w:r>
            <w:r w:rsidR="003820AF">
              <w:rPr>
                <w:webHidden/>
              </w:rPr>
              <w:fldChar w:fldCharType="separate"/>
            </w:r>
            <w:r>
              <w:rPr>
                <w:webHidden/>
              </w:rPr>
              <w:t>3</w:t>
            </w:r>
            <w:r w:rsidR="003820AF">
              <w:rPr>
                <w:webHidden/>
              </w:rPr>
              <w:fldChar w:fldCharType="end"/>
            </w:r>
          </w:hyperlink>
        </w:p>
        <w:p w14:paraId="51FFD802" w14:textId="63E0DD03" w:rsidR="003820AF" w:rsidRDefault="00B57ECB">
          <w:pPr>
            <w:pStyle w:val="TOC2"/>
            <w:rPr>
              <w:rFonts w:asciiTheme="minorHAnsi" w:eastAsiaTheme="minorEastAsia" w:hAnsiTheme="minorHAnsi"/>
              <w:noProof/>
              <w:sz w:val="22"/>
            </w:rPr>
          </w:pPr>
          <w:hyperlink w:anchor="_Toc73025946" w:history="1">
            <w:r w:rsidR="003820AF" w:rsidRPr="000A70BC">
              <w:rPr>
                <w:rStyle w:val="Hyperlink"/>
                <w:noProof/>
              </w:rPr>
              <w:t>A.</w:t>
            </w:r>
            <w:r w:rsidR="003820AF">
              <w:rPr>
                <w:rFonts w:asciiTheme="minorHAnsi" w:eastAsiaTheme="minorEastAsia" w:hAnsiTheme="minorHAnsi"/>
                <w:noProof/>
                <w:sz w:val="22"/>
              </w:rPr>
              <w:tab/>
            </w:r>
            <w:r w:rsidR="003820AF" w:rsidRPr="000A70BC">
              <w:rPr>
                <w:rStyle w:val="Hyperlink"/>
                <w:noProof/>
              </w:rPr>
              <w:t>Routing Criteria under PURA § 37.056(c)(4)</w:t>
            </w:r>
            <w:r w:rsidR="003820AF">
              <w:rPr>
                <w:noProof/>
                <w:webHidden/>
              </w:rPr>
              <w:tab/>
            </w:r>
            <w:r w:rsidR="003820AF">
              <w:rPr>
                <w:noProof/>
                <w:webHidden/>
              </w:rPr>
              <w:fldChar w:fldCharType="begin"/>
            </w:r>
            <w:r w:rsidR="003820AF">
              <w:rPr>
                <w:noProof/>
                <w:webHidden/>
              </w:rPr>
              <w:instrText xml:space="preserve"> PAGEREF _Toc73025946 \h </w:instrText>
            </w:r>
            <w:r w:rsidR="003820AF">
              <w:rPr>
                <w:noProof/>
                <w:webHidden/>
              </w:rPr>
            </w:r>
            <w:r w:rsidR="003820AF">
              <w:rPr>
                <w:noProof/>
                <w:webHidden/>
              </w:rPr>
              <w:fldChar w:fldCharType="separate"/>
            </w:r>
            <w:r>
              <w:rPr>
                <w:noProof/>
                <w:webHidden/>
              </w:rPr>
              <w:t>3</w:t>
            </w:r>
            <w:r w:rsidR="003820AF">
              <w:rPr>
                <w:noProof/>
                <w:webHidden/>
              </w:rPr>
              <w:fldChar w:fldCharType="end"/>
            </w:r>
          </w:hyperlink>
        </w:p>
        <w:p w14:paraId="5F0E9C17" w14:textId="46E71B40" w:rsidR="003820AF" w:rsidRDefault="00B57ECB">
          <w:pPr>
            <w:pStyle w:val="TOC3"/>
            <w:rPr>
              <w:rFonts w:asciiTheme="minorHAnsi" w:eastAsiaTheme="minorEastAsia" w:hAnsiTheme="minorHAnsi"/>
              <w:noProof/>
              <w:sz w:val="22"/>
            </w:rPr>
          </w:pPr>
          <w:hyperlink w:anchor="_Toc73025947" w:history="1">
            <w:r w:rsidR="003820AF" w:rsidRPr="000A70BC">
              <w:rPr>
                <w:rStyle w:val="Hyperlink"/>
                <w:noProof/>
              </w:rPr>
              <w:t>1.</w:t>
            </w:r>
            <w:r w:rsidR="003820AF">
              <w:rPr>
                <w:rFonts w:asciiTheme="minorHAnsi" w:eastAsiaTheme="minorEastAsia" w:hAnsiTheme="minorHAnsi"/>
                <w:noProof/>
                <w:sz w:val="22"/>
              </w:rPr>
              <w:tab/>
            </w:r>
            <w:r w:rsidR="003820AF" w:rsidRPr="000A70BC">
              <w:rPr>
                <w:rStyle w:val="Hyperlink"/>
                <w:noProof/>
              </w:rPr>
              <w:t>Adequacy of existing service and need for service</w:t>
            </w:r>
            <w:r w:rsidR="003820AF">
              <w:rPr>
                <w:noProof/>
                <w:webHidden/>
              </w:rPr>
              <w:tab/>
            </w:r>
            <w:r w:rsidR="003820AF">
              <w:rPr>
                <w:noProof/>
                <w:webHidden/>
              </w:rPr>
              <w:fldChar w:fldCharType="begin"/>
            </w:r>
            <w:r w:rsidR="003820AF">
              <w:rPr>
                <w:noProof/>
                <w:webHidden/>
              </w:rPr>
              <w:instrText xml:space="preserve"> PAGEREF _Toc73025947 \h </w:instrText>
            </w:r>
            <w:r w:rsidR="003820AF">
              <w:rPr>
                <w:noProof/>
                <w:webHidden/>
              </w:rPr>
            </w:r>
            <w:r w:rsidR="003820AF">
              <w:rPr>
                <w:noProof/>
                <w:webHidden/>
              </w:rPr>
              <w:fldChar w:fldCharType="separate"/>
            </w:r>
            <w:r>
              <w:rPr>
                <w:noProof/>
                <w:webHidden/>
              </w:rPr>
              <w:t>3</w:t>
            </w:r>
            <w:r w:rsidR="003820AF">
              <w:rPr>
                <w:noProof/>
                <w:webHidden/>
              </w:rPr>
              <w:fldChar w:fldCharType="end"/>
            </w:r>
          </w:hyperlink>
        </w:p>
        <w:p w14:paraId="4E87169D" w14:textId="1D7FCF66" w:rsidR="003820AF" w:rsidRDefault="00B57ECB">
          <w:pPr>
            <w:pStyle w:val="TOC3"/>
            <w:rPr>
              <w:rFonts w:asciiTheme="minorHAnsi" w:eastAsiaTheme="minorEastAsia" w:hAnsiTheme="minorHAnsi"/>
              <w:noProof/>
              <w:sz w:val="22"/>
            </w:rPr>
          </w:pPr>
          <w:hyperlink w:anchor="_Toc73025948" w:history="1">
            <w:r w:rsidR="003820AF" w:rsidRPr="000A70BC">
              <w:rPr>
                <w:rStyle w:val="Hyperlink"/>
                <w:noProof/>
              </w:rPr>
              <w:t>2.</w:t>
            </w:r>
            <w:r w:rsidR="003820AF">
              <w:rPr>
                <w:rFonts w:asciiTheme="minorHAnsi" w:eastAsiaTheme="minorEastAsia" w:hAnsiTheme="minorHAnsi"/>
                <w:noProof/>
                <w:sz w:val="22"/>
              </w:rPr>
              <w:tab/>
            </w:r>
            <w:r w:rsidR="003820AF" w:rsidRPr="000A70BC">
              <w:rPr>
                <w:rStyle w:val="Hyperlink"/>
                <w:noProof/>
              </w:rPr>
              <w:t>Community Values</w:t>
            </w:r>
            <w:r w:rsidR="003820AF">
              <w:rPr>
                <w:noProof/>
                <w:webHidden/>
              </w:rPr>
              <w:tab/>
            </w:r>
            <w:r w:rsidR="003820AF">
              <w:rPr>
                <w:noProof/>
                <w:webHidden/>
              </w:rPr>
              <w:fldChar w:fldCharType="begin"/>
            </w:r>
            <w:r w:rsidR="003820AF">
              <w:rPr>
                <w:noProof/>
                <w:webHidden/>
              </w:rPr>
              <w:instrText xml:space="preserve"> PAGEREF _Toc73025948 \h </w:instrText>
            </w:r>
            <w:r w:rsidR="003820AF">
              <w:rPr>
                <w:noProof/>
                <w:webHidden/>
              </w:rPr>
            </w:r>
            <w:r w:rsidR="003820AF">
              <w:rPr>
                <w:noProof/>
                <w:webHidden/>
              </w:rPr>
              <w:fldChar w:fldCharType="separate"/>
            </w:r>
            <w:r>
              <w:rPr>
                <w:noProof/>
                <w:webHidden/>
              </w:rPr>
              <w:t>3</w:t>
            </w:r>
            <w:r w:rsidR="003820AF">
              <w:rPr>
                <w:noProof/>
                <w:webHidden/>
              </w:rPr>
              <w:fldChar w:fldCharType="end"/>
            </w:r>
          </w:hyperlink>
        </w:p>
        <w:p w14:paraId="2F7B7355" w14:textId="2A9564E1" w:rsidR="003820AF" w:rsidRDefault="00B57ECB">
          <w:pPr>
            <w:pStyle w:val="TOC3"/>
            <w:rPr>
              <w:rFonts w:asciiTheme="minorHAnsi" w:eastAsiaTheme="minorEastAsia" w:hAnsiTheme="minorHAnsi"/>
              <w:noProof/>
              <w:sz w:val="22"/>
            </w:rPr>
          </w:pPr>
          <w:hyperlink w:anchor="_Toc73025949" w:history="1">
            <w:r w:rsidR="003820AF" w:rsidRPr="000A70BC">
              <w:rPr>
                <w:rStyle w:val="Hyperlink"/>
                <w:noProof/>
              </w:rPr>
              <w:t>3.</w:t>
            </w:r>
            <w:r w:rsidR="003820AF">
              <w:rPr>
                <w:rFonts w:asciiTheme="minorHAnsi" w:eastAsiaTheme="minorEastAsia" w:hAnsiTheme="minorHAnsi"/>
                <w:noProof/>
                <w:sz w:val="22"/>
              </w:rPr>
              <w:tab/>
            </w:r>
            <w:r w:rsidR="003820AF" w:rsidRPr="000A70BC">
              <w:rPr>
                <w:rStyle w:val="Hyperlink"/>
                <w:noProof/>
              </w:rPr>
              <w:t>Historical Values</w:t>
            </w:r>
            <w:r w:rsidR="003820AF">
              <w:rPr>
                <w:noProof/>
                <w:webHidden/>
              </w:rPr>
              <w:tab/>
            </w:r>
            <w:r w:rsidR="003820AF">
              <w:rPr>
                <w:noProof/>
                <w:webHidden/>
              </w:rPr>
              <w:fldChar w:fldCharType="begin"/>
            </w:r>
            <w:r w:rsidR="003820AF">
              <w:rPr>
                <w:noProof/>
                <w:webHidden/>
              </w:rPr>
              <w:instrText xml:space="preserve"> PAGEREF _Toc73025949 \h </w:instrText>
            </w:r>
            <w:r w:rsidR="003820AF">
              <w:rPr>
                <w:noProof/>
                <w:webHidden/>
              </w:rPr>
            </w:r>
            <w:r w:rsidR="003820AF">
              <w:rPr>
                <w:noProof/>
                <w:webHidden/>
              </w:rPr>
              <w:fldChar w:fldCharType="separate"/>
            </w:r>
            <w:r>
              <w:rPr>
                <w:noProof/>
                <w:webHidden/>
              </w:rPr>
              <w:t>4</w:t>
            </w:r>
            <w:r w:rsidR="003820AF">
              <w:rPr>
                <w:noProof/>
                <w:webHidden/>
              </w:rPr>
              <w:fldChar w:fldCharType="end"/>
            </w:r>
          </w:hyperlink>
        </w:p>
        <w:p w14:paraId="2E0445BE" w14:textId="1728C420" w:rsidR="003820AF" w:rsidRDefault="00B57ECB">
          <w:pPr>
            <w:pStyle w:val="TOC3"/>
            <w:rPr>
              <w:rFonts w:asciiTheme="minorHAnsi" w:eastAsiaTheme="minorEastAsia" w:hAnsiTheme="minorHAnsi"/>
              <w:noProof/>
              <w:sz w:val="22"/>
            </w:rPr>
          </w:pPr>
          <w:hyperlink w:anchor="_Toc73025950" w:history="1">
            <w:r w:rsidR="003820AF" w:rsidRPr="000A70BC">
              <w:rPr>
                <w:rStyle w:val="Hyperlink"/>
                <w:noProof/>
              </w:rPr>
              <w:t>4.</w:t>
            </w:r>
            <w:r w:rsidR="003820AF">
              <w:rPr>
                <w:rFonts w:asciiTheme="minorHAnsi" w:eastAsiaTheme="minorEastAsia" w:hAnsiTheme="minorHAnsi"/>
                <w:noProof/>
                <w:sz w:val="22"/>
              </w:rPr>
              <w:tab/>
            </w:r>
            <w:r w:rsidR="003820AF" w:rsidRPr="000A70BC">
              <w:rPr>
                <w:rStyle w:val="Hyperlink"/>
                <w:noProof/>
              </w:rPr>
              <w:t>Parks and recreation areas</w:t>
            </w:r>
            <w:r w:rsidR="003820AF">
              <w:rPr>
                <w:noProof/>
                <w:webHidden/>
              </w:rPr>
              <w:tab/>
            </w:r>
            <w:r w:rsidR="003820AF">
              <w:rPr>
                <w:noProof/>
                <w:webHidden/>
              </w:rPr>
              <w:fldChar w:fldCharType="begin"/>
            </w:r>
            <w:r w:rsidR="003820AF">
              <w:rPr>
                <w:noProof/>
                <w:webHidden/>
              </w:rPr>
              <w:instrText xml:space="preserve"> PAGEREF _Toc73025950 \h </w:instrText>
            </w:r>
            <w:r w:rsidR="003820AF">
              <w:rPr>
                <w:noProof/>
                <w:webHidden/>
              </w:rPr>
            </w:r>
            <w:r w:rsidR="003820AF">
              <w:rPr>
                <w:noProof/>
                <w:webHidden/>
              </w:rPr>
              <w:fldChar w:fldCharType="separate"/>
            </w:r>
            <w:r>
              <w:rPr>
                <w:noProof/>
                <w:webHidden/>
              </w:rPr>
              <w:t>5</w:t>
            </w:r>
            <w:r w:rsidR="003820AF">
              <w:rPr>
                <w:noProof/>
                <w:webHidden/>
              </w:rPr>
              <w:fldChar w:fldCharType="end"/>
            </w:r>
          </w:hyperlink>
        </w:p>
        <w:p w14:paraId="74F456E6" w14:textId="4808837B" w:rsidR="003820AF" w:rsidRDefault="00B57ECB">
          <w:pPr>
            <w:pStyle w:val="TOC2"/>
            <w:rPr>
              <w:rFonts w:asciiTheme="minorHAnsi" w:eastAsiaTheme="minorEastAsia" w:hAnsiTheme="minorHAnsi"/>
              <w:noProof/>
              <w:sz w:val="22"/>
            </w:rPr>
          </w:pPr>
          <w:hyperlink w:anchor="_Toc73025951" w:history="1">
            <w:r w:rsidR="003820AF" w:rsidRPr="000A70BC">
              <w:rPr>
                <w:rStyle w:val="Hyperlink"/>
                <w:noProof/>
              </w:rPr>
              <w:t>B.</w:t>
            </w:r>
            <w:r w:rsidR="003820AF">
              <w:rPr>
                <w:rFonts w:asciiTheme="minorHAnsi" w:eastAsiaTheme="minorEastAsia" w:hAnsiTheme="minorHAnsi"/>
                <w:noProof/>
                <w:sz w:val="22"/>
              </w:rPr>
              <w:tab/>
            </w:r>
            <w:r w:rsidR="003820AF" w:rsidRPr="000A70BC">
              <w:rPr>
                <w:rStyle w:val="Hyperlink"/>
                <w:noProof/>
              </w:rPr>
              <w:t>Routing Criteria under 16 TAC § 25.101(b)(3)(B)</w:t>
            </w:r>
            <w:r w:rsidR="003820AF">
              <w:rPr>
                <w:noProof/>
                <w:webHidden/>
              </w:rPr>
              <w:tab/>
            </w:r>
            <w:r w:rsidR="003820AF">
              <w:rPr>
                <w:noProof/>
                <w:webHidden/>
              </w:rPr>
              <w:fldChar w:fldCharType="begin"/>
            </w:r>
            <w:r w:rsidR="003820AF">
              <w:rPr>
                <w:noProof/>
                <w:webHidden/>
              </w:rPr>
              <w:instrText xml:space="preserve"> PAGEREF _Toc73025951 \h </w:instrText>
            </w:r>
            <w:r w:rsidR="003820AF">
              <w:rPr>
                <w:noProof/>
                <w:webHidden/>
              </w:rPr>
            </w:r>
            <w:r w:rsidR="003820AF">
              <w:rPr>
                <w:noProof/>
                <w:webHidden/>
              </w:rPr>
              <w:fldChar w:fldCharType="separate"/>
            </w:r>
            <w:r>
              <w:rPr>
                <w:noProof/>
                <w:webHidden/>
              </w:rPr>
              <w:t>5</w:t>
            </w:r>
            <w:r w:rsidR="003820AF">
              <w:rPr>
                <w:noProof/>
                <w:webHidden/>
              </w:rPr>
              <w:fldChar w:fldCharType="end"/>
            </w:r>
          </w:hyperlink>
        </w:p>
        <w:p w14:paraId="5CB69D54" w14:textId="1E81CFFC" w:rsidR="003820AF" w:rsidRDefault="00B57ECB">
          <w:pPr>
            <w:pStyle w:val="TOC3"/>
            <w:rPr>
              <w:rFonts w:asciiTheme="minorHAnsi" w:eastAsiaTheme="minorEastAsia" w:hAnsiTheme="minorHAnsi"/>
              <w:noProof/>
              <w:sz w:val="22"/>
            </w:rPr>
          </w:pPr>
          <w:hyperlink w:anchor="_Toc73025952" w:history="1">
            <w:r w:rsidR="003820AF" w:rsidRPr="000A70BC">
              <w:rPr>
                <w:rStyle w:val="Hyperlink"/>
                <w:noProof/>
              </w:rPr>
              <w:t>1.</w:t>
            </w:r>
            <w:r w:rsidR="003820AF">
              <w:rPr>
                <w:rFonts w:asciiTheme="minorHAnsi" w:eastAsiaTheme="minorEastAsia" w:hAnsiTheme="minorHAnsi"/>
                <w:noProof/>
                <w:sz w:val="22"/>
              </w:rPr>
              <w:tab/>
            </w:r>
            <w:r w:rsidR="003820AF" w:rsidRPr="000A70BC">
              <w:rPr>
                <w:rStyle w:val="Hyperlink"/>
                <w:noProof/>
              </w:rPr>
              <w:t>Engineering Constraints</w:t>
            </w:r>
            <w:r w:rsidR="003820AF">
              <w:rPr>
                <w:noProof/>
                <w:webHidden/>
              </w:rPr>
              <w:tab/>
            </w:r>
            <w:r w:rsidR="003820AF">
              <w:rPr>
                <w:noProof/>
                <w:webHidden/>
              </w:rPr>
              <w:fldChar w:fldCharType="begin"/>
            </w:r>
            <w:r w:rsidR="003820AF">
              <w:rPr>
                <w:noProof/>
                <w:webHidden/>
              </w:rPr>
              <w:instrText xml:space="preserve"> PAGEREF _Toc73025952 \h </w:instrText>
            </w:r>
            <w:r w:rsidR="003820AF">
              <w:rPr>
                <w:noProof/>
                <w:webHidden/>
              </w:rPr>
            </w:r>
            <w:r w:rsidR="003820AF">
              <w:rPr>
                <w:noProof/>
                <w:webHidden/>
              </w:rPr>
              <w:fldChar w:fldCharType="separate"/>
            </w:r>
            <w:r>
              <w:rPr>
                <w:noProof/>
                <w:webHidden/>
              </w:rPr>
              <w:t>5</w:t>
            </w:r>
            <w:r w:rsidR="003820AF">
              <w:rPr>
                <w:noProof/>
                <w:webHidden/>
              </w:rPr>
              <w:fldChar w:fldCharType="end"/>
            </w:r>
          </w:hyperlink>
        </w:p>
        <w:p w14:paraId="64BE8F62" w14:textId="5B05BD00" w:rsidR="003820AF" w:rsidRDefault="00B57ECB">
          <w:pPr>
            <w:pStyle w:val="TOC3"/>
            <w:rPr>
              <w:rFonts w:asciiTheme="minorHAnsi" w:eastAsiaTheme="minorEastAsia" w:hAnsiTheme="minorHAnsi"/>
              <w:noProof/>
              <w:sz w:val="22"/>
            </w:rPr>
          </w:pPr>
          <w:hyperlink w:anchor="_Toc73025953" w:history="1">
            <w:r w:rsidR="003820AF" w:rsidRPr="000A70BC">
              <w:rPr>
                <w:rStyle w:val="Hyperlink"/>
                <w:noProof/>
              </w:rPr>
              <w:t>2.</w:t>
            </w:r>
            <w:r w:rsidR="003820AF">
              <w:rPr>
                <w:rFonts w:asciiTheme="minorHAnsi" w:eastAsiaTheme="minorEastAsia" w:hAnsiTheme="minorHAnsi"/>
                <w:noProof/>
                <w:sz w:val="22"/>
              </w:rPr>
              <w:tab/>
            </w:r>
            <w:r w:rsidR="003820AF" w:rsidRPr="000A70BC">
              <w:rPr>
                <w:rStyle w:val="Hyperlink"/>
                <w:noProof/>
              </w:rPr>
              <w:t>Cost</w:t>
            </w:r>
            <w:r w:rsidR="003820AF">
              <w:rPr>
                <w:noProof/>
                <w:webHidden/>
              </w:rPr>
              <w:tab/>
            </w:r>
            <w:r w:rsidR="003820AF">
              <w:rPr>
                <w:noProof/>
                <w:webHidden/>
              </w:rPr>
              <w:fldChar w:fldCharType="begin"/>
            </w:r>
            <w:r w:rsidR="003820AF">
              <w:rPr>
                <w:noProof/>
                <w:webHidden/>
              </w:rPr>
              <w:instrText xml:space="preserve"> PAGEREF _Toc73025953 \h </w:instrText>
            </w:r>
            <w:r w:rsidR="003820AF">
              <w:rPr>
                <w:noProof/>
                <w:webHidden/>
              </w:rPr>
            </w:r>
            <w:r w:rsidR="003820AF">
              <w:rPr>
                <w:noProof/>
                <w:webHidden/>
              </w:rPr>
              <w:fldChar w:fldCharType="separate"/>
            </w:r>
            <w:r>
              <w:rPr>
                <w:noProof/>
                <w:webHidden/>
              </w:rPr>
              <w:t>6</w:t>
            </w:r>
            <w:r w:rsidR="003820AF">
              <w:rPr>
                <w:noProof/>
                <w:webHidden/>
              </w:rPr>
              <w:fldChar w:fldCharType="end"/>
            </w:r>
          </w:hyperlink>
        </w:p>
        <w:p w14:paraId="7D8F83B5" w14:textId="4B77A6AE" w:rsidR="003820AF" w:rsidRDefault="00B57ECB">
          <w:pPr>
            <w:pStyle w:val="TOC3"/>
            <w:rPr>
              <w:rFonts w:asciiTheme="minorHAnsi" w:eastAsiaTheme="minorEastAsia" w:hAnsiTheme="minorHAnsi"/>
              <w:noProof/>
              <w:sz w:val="22"/>
            </w:rPr>
          </w:pPr>
          <w:hyperlink w:anchor="_Toc73025954" w:history="1">
            <w:r w:rsidR="003820AF" w:rsidRPr="000A70BC">
              <w:rPr>
                <w:rStyle w:val="Hyperlink"/>
                <w:noProof/>
              </w:rPr>
              <w:t>3.</w:t>
            </w:r>
            <w:r w:rsidR="003820AF">
              <w:rPr>
                <w:rFonts w:asciiTheme="minorHAnsi" w:eastAsiaTheme="minorEastAsia" w:hAnsiTheme="minorHAnsi"/>
                <w:noProof/>
                <w:sz w:val="22"/>
              </w:rPr>
              <w:tab/>
            </w:r>
            <w:r w:rsidR="003820AF" w:rsidRPr="000A70BC">
              <w:rPr>
                <w:rStyle w:val="Hyperlink"/>
                <w:noProof/>
              </w:rPr>
              <w:t>Moderation of Impact on Affected Community and Landowners</w:t>
            </w:r>
            <w:r w:rsidR="003820AF">
              <w:rPr>
                <w:noProof/>
                <w:webHidden/>
              </w:rPr>
              <w:tab/>
            </w:r>
            <w:r w:rsidR="003820AF">
              <w:rPr>
                <w:noProof/>
                <w:webHidden/>
              </w:rPr>
              <w:fldChar w:fldCharType="begin"/>
            </w:r>
            <w:r w:rsidR="003820AF">
              <w:rPr>
                <w:noProof/>
                <w:webHidden/>
              </w:rPr>
              <w:instrText xml:space="preserve"> PAGEREF _Toc73025954 \h </w:instrText>
            </w:r>
            <w:r w:rsidR="003820AF">
              <w:rPr>
                <w:noProof/>
                <w:webHidden/>
              </w:rPr>
            </w:r>
            <w:r w:rsidR="003820AF">
              <w:rPr>
                <w:noProof/>
                <w:webHidden/>
              </w:rPr>
              <w:fldChar w:fldCharType="separate"/>
            </w:r>
            <w:r>
              <w:rPr>
                <w:noProof/>
                <w:webHidden/>
              </w:rPr>
              <w:t>6</w:t>
            </w:r>
            <w:r w:rsidR="003820AF">
              <w:rPr>
                <w:noProof/>
                <w:webHidden/>
              </w:rPr>
              <w:fldChar w:fldCharType="end"/>
            </w:r>
          </w:hyperlink>
        </w:p>
        <w:p w14:paraId="05BCA02F" w14:textId="31B841F4" w:rsidR="003820AF" w:rsidRDefault="00B57ECB">
          <w:pPr>
            <w:pStyle w:val="TOC4"/>
            <w:rPr>
              <w:rFonts w:asciiTheme="minorHAnsi" w:eastAsiaTheme="minorEastAsia" w:hAnsiTheme="minorHAnsi"/>
              <w:noProof/>
              <w:sz w:val="22"/>
            </w:rPr>
          </w:pPr>
          <w:hyperlink w:anchor="_Toc73025955" w:history="1">
            <w:r w:rsidR="003820AF" w:rsidRPr="000A70BC">
              <w:rPr>
                <w:rStyle w:val="Hyperlink"/>
                <w:noProof/>
              </w:rPr>
              <w:t>a.</w:t>
            </w:r>
            <w:r w:rsidR="003820AF">
              <w:rPr>
                <w:rFonts w:asciiTheme="minorHAnsi" w:eastAsiaTheme="minorEastAsia" w:hAnsiTheme="minorHAnsi"/>
                <w:noProof/>
                <w:sz w:val="22"/>
              </w:rPr>
              <w:tab/>
            </w:r>
            <w:r w:rsidR="003820AF" w:rsidRPr="000A70BC">
              <w:rPr>
                <w:rStyle w:val="Hyperlink"/>
                <w:noProof/>
              </w:rPr>
              <w:t>Anaqua Springs</w:t>
            </w:r>
            <w:r w:rsidR="003820AF">
              <w:rPr>
                <w:noProof/>
                <w:webHidden/>
              </w:rPr>
              <w:tab/>
            </w:r>
            <w:r w:rsidR="003820AF">
              <w:rPr>
                <w:noProof/>
                <w:webHidden/>
              </w:rPr>
              <w:fldChar w:fldCharType="begin"/>
            </w:r>
            <w:r w:rsidR="003820AF">
              <w:rPr>
                <w:noProof/>
                <w:webHidden/>
              </w:rPr>
              <w:instrText xml:space="preserve"> PAGEREF _Toc73025955 \h </w:instrText>
            </w:r>
            <w:r w:rsidR="003820AF">
              <w:rPr>
                <w:noProof/>
                <w:webHidden/>
              </w:rPr>
            </w:r>
            <w:r w:rsidR="003820AF">
              <w:rPr>
                <w:noProof/>
                <w:webHidden/>
              </w:rPr>
              <w:fldChar w:fldCharType="separate"/>
            </w:r>
            <w:r>
              <w:rPr>
                <w:noProof/>
                <w:webHidden/>
              </w:rPr>
              <w:t>6</w:t>
            </w:r>
            <w:r w:rsidR="003820AF">
              <w:rPr>
                <w:noProof/>
                <w:webHidden/>
              </w:rPr>
              <w:fldChar w:fldCharType="end"/>
            </w:r>
          </w:hyperlink>
        </w:p>
        <w:p w14:paraId="3059CE11" w14:textId="5F8CA0C3" w:rsidR="003820AF" w:rsidRDefault="00B57ECB">
          <w:pPr>
            <w:pStyle w:val="TOC4"/>
            <w:rPr>
              <w:rFonts w:asciiTheme="minorHAnsi" w:eastAsiaTheme="minorEastAsia" w:hAnsiTheme="minorHAnsi"/>
              <w:noProof/>
              <w:sz w:val="22"/>
            </w:rPr>
          </w:pPr>
          <w:hyperlink w:anchor="_Toc73025956" w:history="1">
            <w:r w:rsidR="003820AF" w:rsidRPr="000A70BC">
              <w:rPr>
                <w:rStyle w:val="Hyperlink"/>
                <w:noProof/>
              </w:rPr>
              <w:t>b.</w:t>
            </w:r>
            <w:r w:rsidR="003820AF">
              <w:rPr>
                <w:rFonts w:asciiTheme="minorHAnsi" w:eastAsiaTheme="minorEastAsia" w:hAnsiTheme="minorHAnsi"/>
                <w:noProof/>
                <w:sz w:val="22"/>
              </w:rPr>
              <w:tab/>
            </w:r>
            <w:r w:rsidR="003820AF" w:rsidRPr="000A70BC">
              <w:rPr>
                <w:rStyle w:val="Hyperlink"/>
                <w:noProof/>
              </w:rPr>
              <w:t>Bexar Ranch</w:t>
            </w:r>
            <w:r w:rsidR="003820AF">
              <w:rPr>
                <w:noProof/>
                <w:webHidden/>
              </w:rPr>
              <w:tab/>
            </w:r>
            <w:r w:rsidR="003820AF">
              <w:rPr>
                <w:noProof/>
                <w:webHidden/>
              </w:rPr>
              <w:fldChar w:fldCharType="begin"/>
            </w:r>
            <w:r w:rsidR="003820AF">
              <w:rPr>
                <w:noProof/>
                <w:webHidden/>
              </w:rPr>
              <w:instrText xml:space="preserve"> PAGEREF _Toc73025956 \h </w:instrText>
            </w:r>
            <w:r w:rsidR="003820AF">
              <w:rPr>
                <w:noProof/>
                <w:webHidden/>
              </w:rPr>
            </w:r>
            <w:r w:rsidR="003820AF">
              <w:rPr>
                <w:noProof/>
                <w:webHidden/>
              </w:rPr>
              <w:fldChar w:fldCharType="separate"/>
            </w:r>
            <w:r>
              <w:rPr>
                <w:noProof/>
                <w:webHidden/>
              </w:rPr>
              <w:t>6</w:t>
            </w:r>
            <w:r w:rsidR="003820AF">
              <w:rPr>
                <w:noProof/>
                <w:webHidden/>
              </w:rPr>
              <w:fldChar w:fldCharType="end"/>
            </w:r>
          </w:hyperlink>
        </w:p>
        <w:p w14:paraId="0043355A" w14:textId="6AAFCB18" w:rsidR="003820AF" w:rsidRDefault="00B57ECB">
          <w:pPr>
            <w:pStyle w:val="TOC4"/>
            <w:rPr>
              <w:rFonts w:asciiTheme="minorHAnsi" w:eastAsiaTheme="minorEastAsia" w:hAnsiTheme="minorHAnsi"/>
              <w:noProof/>
              <w:sz w:val="22"/>
            </w:rPr>
          </w:pPr>
          <w:hyperlink w:anchor="_Toc73025957" w:history="1">
            <w:r w:rsidR="003820AF" w:rsidRPr="000A70BC">
              <w:rPr>
                <w:rStyle w:val="Hyperlink"/>
                <w:noProof/>
              </w:rPr>
              <w:t>c.</w:t>
            </w:r>
            <w:r w:rsidR="003820AF">
              <w:rPr>
                <w:rFonts w:asciiTheme="minorHAnsi" w:eastAsiaTheme="minorEastAsia" w:hAnsiTheme="minorHAnsi"/>
                <w:noProof/>
                <w:sz w:val="22"/>
              </w:rPr>
              <w:tab/>
            </w:r>
            <w:r w:rsidR="003820AF" w:rsidRPr="000A70BC">
              <w:rPr>
                <w:rStyle w:val="Hyperlink"/>
                <w:noProof/>
              </w:rPr>
              <w:t>Substation Site 7</w:t>
            </w:r>
            <w:r w:rsidR="003820AF">
              <w:rPr>
                <w:noProof/>
                <w:webHidden/>
              </w:rPr>
              <w:tab/>
            </w:r>
            <w:r w:rsidR="003820AF">
              <w:rPr>
                <w:noProof/>
                <w:webHidden/>
              </w:rPr>
              <w:fldChar w:fldCharType="begin"/>
            </w:r>
            <w:r w:rsidR="003820AF">
              <w:rPr>
                <w:noProof/>
                <w:webHidden/>
              </w:rPr>
              <w:instrText xml:space="preserve"> PAGEREF _Toc73025957 \h </w:instrText>
            </w:r>
            <w:r w:rsidR="003820AF">
              <w:rPr>
                <w:noProof/>
                <w:webHidden/>
              </w:rPr>
            </w:r>
            <w:r w:rsidR="003820AF">
              <w:rPr>
                <w:noProof/>
                <w:webHidden/>
              </w:rPr>
              <w:fldChar w:fldCharType="separate"/>
            </w:r>
            <w:r>
              <w:rPr>
                <w:noProof/>
                <w:webHidden/>
              </w:rPr>
              <w:t>8</w:t>
            </w:r>
            <w:r w:rsidR="003820AF">
              <w:rPr>
                <w:noProof/>
                <w:webHidden/>
              </w:rPr>
              <w:fldChar w:fldCharType="end"/>
            </w:r>
          </w:hyperlink>
        </w:p>
        <w:p w14:paraId="2D6262A3" w14:textId="0D59BA20" w:rsidR="003820AF" w:rsidRDefault="00B57ECB">
          <w:pPr>
            <w:pStyle w:val="TOC3"/>
            <w:rPr>
              <w:rFonts w:asciiTheme="minorHAnsi" w:eastAsiaTheme="minorEastAsia" w:hAnsiTheme="minorHAnsi"/>
              <w:noProof/>
              <w:sz w:val="22"/>
            </w:rPr>
          </w:pPr>
          <w:hyperlink w:anchor="_Toc73025958" w:history="1">
            <w:r w:rsidR="003820AF" w:rsidRPr="000A70BC">
              <w:rPr>
                <w:rStyle w:val="Hyperlink"/>
                <w:noProof/>
              </w:rPr>
              <w:t>4.</w:t>
            </w:r>
            <w:r w:rsidR="003820AF">
              <w:rPr>
                <w:rFonts w:asciiTheme="minorHAnsi" w:eastAsiaTheme="minorEastAsia" w:hAnsiTheme="minorHAnsi"/>
                <w:noProof/>
                <w:sz w:val="22"/>
              </w:rPr>
              <w:tab/>
            </w:r>
            <w:r w:rsidR="003820AF" w:rsidRPr="000A70BC">
              <w:rPr>
                <w:rStyle w:val="Hyperlink"/>
                <w:noProof/>
              </w:rPr>
              <w:t>Prudent Avoidance</w:t>
            </w:r>
            <w:r w:rsidR="003820AF">
              <w:rPr>
                <w:noProof/>
                <w:webHidden/>
              </w:rPr>
              <w:tab/>
            </w:r>
            <w:r w:rsidR="003820AF">
              <w:rPr>
                <w:noProof/>
                <w:webHidden/>
              </w:rPr>
              <w:fldChar w:fldCharType="begin"/>
            </w:r>
            <w:r w:rsidR="003820AF">
              <w:rPr>
                <w:noProof/>
                <w:webHidden/>
              </w:rPr>
              <w:instrText xml:space="preserve"> PAGEREF _Toc73025958 \h </w:instrText>
            </w:r>
            <w:r w:rsidR="003820AF">
              <w:rPr>
                <w:noProof/>
                <w:webHidden/>
              </w:rPr>
            </w:r>
            <w:r w:rsidR="003820AF">
              <w:rPr>
                <w:noProof/>
                <w:webHidden/>
              </w:rPr>
              <w:fldChar w:fldCharType="separate"/>
            </w:r>
            <w:r>
              <w:rPr>
                <w:noProof/>
                <w:webHidden/>
              </w:rPr>
              <w:t>9</w:t>
            </w:r>
            <w:r w:rsidR="003820AF">
              <w:rPr>
                <w:noProof/>
                <w:webHidden/>
              </w:rPr>
              <w:fldChar w:fldCharType="end"/>
            </w:r>
          </w:hyperlink>
        </w:p>
        <w:p w14:paraId="326ECFC0" w14:textId="5E4BE2F6" w:rsidR="003820AF" w:rsidRDefault="00B57ECB" w:rsidP="003820AF">
          <w:pPr>
            <w:pStyle w:val="TOC1"/>
            <w:ind w:left="720" w:hanging="720"/>
            <w:rPr>
              <w:rFonts w:asciiTheme="minorHAnsi" w:hAnsiTheme="minorHAnsi"/>
              <w:sz w:val="22"/>
            </w:rPr>
          </w:pPr>
          <w:hyperlink w:anchor="_Toc73025959" w:history="1">
            <w:r w:rsidR="003820AF" w:rsidRPr="000A70BC">
              <w:rPr>
                <w:rStyle w:val="Hyperlink"/>
              </w:rPr>
              <w:t>IV.</w:t>
            </w:r>
            <w:r w:rsidR="003820AF">
              <w:rPr>
                <w:rFonts w:asciiTheme="minorHAnsi" w:hAnsiTheme="minorHAnsi"/>
                <w:sz w:val="22"/>
              </w:rPr>
              <w:tab/>
            </w:r>
            <w:r w:rsidR="003820AF" w:rsidRPr="000A70BC">
              <w:rPr>
                <w:rStyle w:val="Hyperlink"/>
              </w:rPr>
              <w:t>PRELIMINARY ORDER ISSUE NO. 5 Are there alternative routes or facilities configurations that would have a less negative impact on landowners? What would be the incremental cost of those routes?</w:t>
            </w:r>
            <w:r w:rsidR="003820AF">
              <w:rPr>
                <w:webHidden/>
              </w:rPr>
              <w:tab/>
            </w:r>
            <w:r w:rsidR="003820AF">
              <w:rPr>
                <w:webHidden/>
              </w:rPr>
              <w:fldChar w:fldCharType="begin"/>
            </w:r>
            <w:r w:rsidR="003820AF">
              <w:rPr>
                <w:webHidden/>
              </w:rPr>
              <w:instrText xml:space="preserve"> PAGEREF _Toc73025959 \h </w:instrText>
            </w:r>
            <w:r w:rsidR="003820AF">
              <w:rPr>
                <w:webHidden/>
              </w:rPr>
            </w:r>
            <w:r w:rsidR="003820AF">
              <w:rPr>
                <w:webHidden/>
              </w:rPr>
              <w:fldChar w:fldCharType="separate"/>
            </w:r>
            <w:r>
              <w:rPr>
                <w:webHidden/>
              </w:rPr>
              <w:t>11</w:t>
            </w:r>
            <w:r w:rsidR="003820AF">
              <w:rPr>
                <w:webHidden/>
              </w:rPr>
              <w:fldChar w:fldCharType="end"/>
            </w:r>
          </w:hyperlink>
        </w:p>
        <w:p w14:paraId="6024B404" w14:textId="0D3864CF" w:rsidR="003820AF" w:rsidRDefault="00B57ECB">
          <w:pPr>
            <w:pStyle w:val="TOC1"/>
            <w:rPr>
              <w:rFonts w:asciiTheme="minorHAnsi" w:hAnsiTheme="minorHAnsi"/>
              <w:sz w:val="22"/>
            </w:rPr>
          </w:pPr>
          <w:hyperlink w:anchor="_Toc73025960" w:history="1">
            <w:r w:rsidR="003820AF" w:rsidRPr="000A70BC">
              <w:rPr>
                <w:rStyle w:val="Hyperlink"/>
              </w:rPr>
              <w:t>V.</w:t>
            </w:r>
            <w:r w:rsidR="003820AF">
              <w:rPr>
                <w:rFonts w:asciiTheme="minorHAnsi" w:hAnsiTheme="minorHAnsi"/>
                <w:sz w:val="22"/>
              </w:rPr>
              <w:tab/>
            </w:r>
            <w:r w:rsidR="003820AF" w:rsidRPr="000A70BC">
              <w:rPr>
                <w:rStyle w:val="Hyperlink"/>
              </w:rPr>
              <w:t>CONCLUSION</w:t>
            </w:r>
            <w:r w:rsidR="003820AF">
              <w:rPr>
                <w:webHidden/>
              </w:rPr>
              <w:tab/>
            </w:r>
            <w:r w:rsidR="003820AF">
              <w:rPr>
                <w:webHidden/>
              </w:rPr>
              <w:fldChar w:fldCharType="begin"/>
            </w:r>
            <w:r w:rsidR="003820AF">
              <w:rPr>
                <w:webHidden/>
              </w:rPr>
              <w:instrText xml:space="preserve"> PAGEREF _Toc73025960 \h </w:instrText>
            </w:r>
            <w:r w:rsidR="003820AF">
              <w:rPr>
                <w:webHidden/>
              </w:rPr>
            </w:r>
            <w:r w:rsidR="003820AF">
              <w:rPr>
                <w:webHidden/>
              </w:rPr>
              <w:fldChar w:fldCharType="separate"/>
            </w:r>
            <w:r>
              <w:rPr>
                <w:webHidden/>
              </w:rPr>
              <w:t>13</w:t>
            </w:r>
            <w:r w:rsidR="003820AF">
              <w:rPr>
                <w:webHidden/>
              </w:rPr>
              <w:fldChar w:fldCharType="end"/>
            </w:r>
          </w:hyperlink>
        </w:p>
        <w:p w14:paraId="7926E827" w14:textId="7B1AF14A" w:rsidR="00A66AC9" w:rsidRPr="00C76A5F" w:rsidRDefault="00C76A5F" w:rsidP="002758FC">
          <w:pPr>
            <w:pStyle w:val="TOC1"/>
          </w:pPr>
          <w:r>
            <w:fldChar w:fldCharType="end"/>
          </w:r>
          <w:r w:rsidR="00C60F88">
            <w:t>CERTIFICATE OF SERVICE</w:t>
          </w:r>
          <w:r w:rsidR="00C60F88">
            <w:tab/>
          </w:r>
          <w:r w:rsidR="002758FC">
            <w:t>1</w:t>
          </w:r>
          <w:r w:rsidR="005B28E2">
            <w:t>5</w:t>
          </w:r>
        </w:p>
      </w:sdtContent>
    </w:sdt>
    <w:p w14:paraId="13FEAB6A" w14:textId="7AE6C59C" w:rsidR="00416BD7" w:rsidRDefault="00416BD7" w:rsidP="009E5BEB">
      <w:pPr>
        <w:pStyle w:val="CROutline1"/>
        <w:ind w:left="720"/>
        <w:rPr>
          <w:b w:val="0"/>
          <w:bCs/>
        </w:rPr>
      </w:pPr>
      <w:bookmarkStart w:id="0" w:name="_Toc73025943"/>
      <w:r w:rsidRPr="00447F8F">
        <w:lastRenderedPageBreak/>
        <w:t>INTRODUCTION</w:t>
      </w:r>
      <w:bookmarkEnd w:id="0"/>
    </w:p>
    <w:p w14:paraId="0237F673" w14:textId="3A9F93C3" w:rsidR="009E141C" w:rsidRPr="009E141C" w:rsidRDefault="009E141C" w:rsidP="009E141C">
      <w:pPr>
        <w:ind w:firstLine="720"/>
        <w:jc w:val="both"/>
      </w:pPr>
      <w:r>
        <w:t>The parties have provided detailed briefing in this case regarding which route or routes each party believes is the route that best meets the applicable routing factors.  Many parties discuss the uniqueness of their property, the views, and the lifestyle</w:t>
      </w:r>
      <w:r w:rsidR="00507BC6">
        <w:t xml:space="preserve"> they enjoy.  </w:t>
      </w:r>
      <w:r w:rsidR="00A517E0">
        <w:t>Those statements are all valid.  All land is unique, and most landowners enjoy their properties for their unique characteristics.</w:t>
      </w:r>
      <w:r w:rsidR="001A6D32">
        <w:t xml:space="preserve">  Nevertheless, this transmission line needs to be built to serve the area and prevent shortfalls in electricity.  This reply brief addresses only those arguments made by parties in this case that Anaqua Springs Homeowners’ Association (“Anaqua Springs HOA”) believes warrants a response to clarify the record or to point out an inconsistency in a party’s position.  Anaqua Springs </w:t>
      </w:r>
      <w:proofErr w:type="spellStart"/>
      <w:r w:rsidR="001A6D32">
        <w:t>HOA’s</w:t>
      </w:r>
      <w:proofErr w:type="spellEnd"/>
      <w:r w:rsidR="001A6D32">
        <w:t xml:space="preserve"> </w:t>
      </w:r>
      <w:r w:rsidR="003F5298">
        <w:t xml:space="preserve">silence on a particular claim does not mean that Anaqua Springs HOA necessarily agrees with that party’s position.  </w:t>
      </w:r>
    </w:p>
    <w:p w14:paraId="53204F49" w14:textId="2C1F197A" w:rsidR="00564C61" w:rsidRDefault="00416BD7" w:rsidP="009E5BEB">
      <w:pPr>
        <w:pStyle w:val="CROutline1"/>
        <w:ind w:left="720"/>
      </w:pPr>
      <w:bookmarkStart w:id="1" w:name="_Toc73025944"/>
      <w:r w:rsidRPr="00BE3521">
        <w:t>JURISDICTION</w:t>
      </w:r>
      <w:r w:rsidR="00564C61" w:rsidRPr="00BE3521">
        <w:t xml:space="preserve"> AND NOTICE</w:t>
      </w:r>
      <w:bookmarkEnd w:id="1"/>
    </w:p>
    <w:p w14:paraId="40212241" w14:textId="60AA8EB9" w:rsidR="00327B86" w:rsidRDefault="00327B86" w:rsidP="00BB04C9">
      <w:pPr>
        <w:ind w:firstLine="720"/>
        <w:jc w:val="both"/>
      </w:pPr>
      <w:r>
        <w:t>Anaqua Springs HOA does not contest the jurisdiction of the Public Utility Commission of Texas (“Commission”) over this case, nor of the State Office of Administrative Hearings to conduct the hearing and issue a Proposal for Decision.</w:t>
      </w:r>
      <w:r w:rsidR="009F43D5">
        <w:rPr>
          <w:rStyle w:val="FootnoteReference"/>
        </w:rPr>
        <w:footnoteReference w:id="1"/>
      </w:r>
      <w:r>
        <w:t xml:space="preserve">  </w:t>
      </w:r>
    </w:p>
    <w:p w14:paraId="64B51CF6" w14:textId="62726510" w:rsidR="00327B86" w:rsidRPr="00327B86" w:rsidRDefault="00327B86" w:rsidP="00BB04C9">
      <w:pPr>
        <w:ind w:firstLine="720"/>
        <w:jc w:val="both"/>
      </w:pPr>
      <w:r>
        <w:t xml:space="preserve">Anaqua Springs HOA also does not contest that </w:t>
      </w:r>
      <w:r w:rsidR="00046757">
        <w:t>the City of San Antonio acting by and through the City Public Service Board (“</w:t>
      </w:r>
      <w:r>
        <w:t xml:space="preserve">CPS </w:t>
      </w:r>
      <w:r w:rsidR="00046757">
        <w:t>E</w:t>
      </w:r>
      <w:r>
        <w:t>nergy</w:t>
      </w:r>
      <w:r w:rsidR="00046757">
        <w:t>”)</w:t>
      </w:r>
      <w:r>
        <w:t xml:space="preserve"> provided notice in accordance with the </w:t>
      </w:r>
      <w:r w:rsidR="00AE7D78">
        <w:t>Commission’s</w:t>
      </w:r>
      <w:r>
        <w:t xml:space="preserve"> rules.  However, Anaqua Springs HOA maintains, as indicated in its initial brief</w:t>
      </w:r>
      <w:r w:rsidR="00AE7D78">
        <w:t>,</w:t>
      </w:r>
      <w:r>
        <w:t xml:space="preserve"> that CPS Energy has treated similarly</w:t>
      </w:r>
      <w:r w:rsidR="00A83E13">
        <w:t>-</w:t>
      </w:r>
      <w:r>
        <w:t xml:space="preserve">situated </w:t>
      </w:r>
      <w:r w:rsidR="00BB04C9">
        <w:t>people differently when providing notice in that CPS Energy did not provide notice to all the individuals adjacent to Substation</w:t>
      </w:r>
      <w:r w:rsidR="00B8680C">
        <w:t xml:space="preserve"> Site</w:t>
      </w:r>
      <w:r w:rsidR="00BB04C9">
        <w:t xml:space="preserve"> </w:t>
      </w:r>
      <w:r w:rsidR="00B8680C">
        <w:t>7, whereas all adjacent residents of other substation sites were provided notice</w:t>
      </w:r>
      <w:r w:rsidR="00560578">
        <w:t>,</w:t>
      </w:r>
      <w:r w:rsidR="00B8680C">
        <w:t xml:space="preserve"> as were individuals who own property much farther away from those other substation sites.</w:t>
      </w:r>
    </w:p>
    <w:p w14:paraId="148DA301" w14:textId="5DF0EDDA" w:rsidR="00CF4231" w:rsidRDefault="00CF4231" w:rsidP="009E5BEB">
      <w:pPr>
        <w:pStyle w:val="CROutline1"/>
        <w:ind w:left="720"/>
      </w:pPr>
      <w:bookmarkStart w:id="2" w:name="_Toc73025945"/>
      <w:r>
        <w:lastRenderedPageBreak/>
        <w:t xml:space="preserve">PRELIMINARY </w:t>
      </w:r>
      <w:r w:rsidRPr="00D75B00">
        <w:t>ORDER</w:t>
      </w:r>
      <w:r>
        <w:t xml:space="preserve"> ISSUE 4:</w:t>
      </w:r>
      <w:r w:rsidRPr="00CF4231">
        <w:t xml:space="preserve"> </w:t>
      </w:r>
      <w:r w:rsidRPr="00A646FE">
        <w:t>Which proposed transmission line route is the best alternative weighing the factors set forth in PURA § 37.056(c) and 16 TAC §</w:t>
      </w:r>
      <w:r w:rsidR="001B3E24">
        <w:t> </w:t>
      </w:r>
      <w:r w:rsidRPr="00A646FE">
        <w:t>25.101(b)(3)(B)?</w:t>
      </w:r>
      <w:bookmarkEnd w:id="2"/>
      <w:r w:rsidRPr="00A646FE">
        <w:t xml:space="preserve"> </w:t>
      </w:r>
    </w:p>
    <w:p w14:paraId="3627392E" w14:textId="394A81F5" w:rsidR="00416BD7" w:rsidRPr="00507A39" w:rsidRDefault="00416BD7" w:rsidP="00BE3521">
      <w:pPr>
        <w:pStyle w:val="CROutline2"/>
      </w:pPr>
      <w:bookmarkStart w:id="3" w:name="_Toc73025946"/>
      <w:r w:rsidRPr="00507A39">
        <w:t>Routing Criteria under PURA § 37.056(c)(4)</w:t>
      </w:r>
      <w:bookmarkEnd w:id="3"/>
    </w:p>
    <w:p w14:paraId="4E9612A3" w14:textId="190D038E" w:rsidR="00DF5B8C" w:rsidRDefault="00CF4231" w:rsidP="00BE3521">
      <w:pPr>
        <w:pStyle w:val="CROutline3"/>
      </w:pPr>
      <w:bookmarkStart w:id="4" w:name="_Toc73025947"/>
      <w:r>
        <w:t>Adequacy of existing service and need for service</w:t>
      </w:r>
      <w:bookmarkEnd w:id="4"/>
    </w:p>
    <w:p w14:paraId="234E2745" w14:textId="06B7E451" w:rsidR="00D23D58" w:rsidRPr="00D23D58" w:rsidRDefault="00D23D58" w:rsidP="009A45EE">
      <w:pPr>
        <w:ind w:firstLine="720"/>
        <w:jc w:val="both"/>
      </w:pPr>
      <w:r>
        <w:t>No parties contested these issues.</w:t>
      </w:r>
    </w:p>
    <w:p w14:paraId="19C970DB" w14:textId="04E17BD3" w:rsidR="00416BD7" w:rsidRDefault="00416BD7" w:rsidP="00134B94">
      <w:pPr>
        <w:pStyle w:val="CROutline3"/>
        <w:tabs>
          <w:tab w:val="clear" w:pos="1152"/>
        </w:tabs>
      </w:pPr>
      <w:bookmarkStart w:id="5" w:name="_Toc73025948"/>
      <w:r w:rsidRPr="00507A39">
        <w:t>Community Values</w:t>
      </w:r>
      <w:bookmarkEnd w:id="5"/>
    </w:p>
    <w:p w14:paraId="5443CAEF" w14:textId="404797AF" w:rsidR="00640B67" w:rsidRDefault="00640B67" w:rsidP="00FF4F6E">
      <w:pPr>
        <w:ind w:firstLine="720"/>
        <w:jc w:val="both"/>
      </w:pPr>
      <w:r>
        <w:t>Th</w:t>
      </w:r>
      <w:r w:rsidR="004029DB">
        <w:t xml:space="preserve">is case has essentially fallen into </w:t>
      </w:r>
      <w:r>
        <w:t xml:space="preserve">two factions, those opposed to routes on </w:t>
      </w:r>
      <w:r w:rsidR="00255952">
        <w:t>Toutant Beauregard</w:t>
      </w:r>
      <w:r>
        <w:t xml:space="preserve"> </w:t>
      </w:r>
      <w:r w:rsidR="001A1C70">
        <w:t>Road (“</w:t>
      </w:r>
      <w:r w:rsidR="00255952">
        <w:t>Toutant Beauregard</w:t>
      </w:r>
      <w:r w:rsidR="001A1C70">
        <w:t xml:space="preserve">”) </w:t>
      </w:r>
      <w:r w:rsidR="00FF4F6E">
        <w:t xml:space="preserve">(Commission Staff, </w:t>
      </w:r>
      <w:r w:rsidR="009A32EF">
        <w:t>N</w:t>
      </w:r>
      <w:r w:rsidR="001A1C70">
        <w:t>orthside Independent School District (“</w:t>
      </w:r>
      <w:proofErr w:type="spellStart"/>
      <w:r w:rsidR="001A1C70">
        <w:t>N</w:t>
      </w:r>
      <w:r w:rsidR="009A32EF">
        <w:t>ISD</w:t>
      </w:r>
      <w:proofErr w:type="spellEnd"/>
      <w:r w:rsidR="001A1C70">
        <w:t>”)</w:t>
      </w:r>
      <w:r w:rsidR="009A32EF">
        <w:t xml:space="preserve">, </w:t>
      </w:r>
      <w:r w:rsidR="00FF4F6E">
        <w:t xml:space="preserve">the </w:t>
      </w:r>
      <w:r w:rsidR="004E01DE">
        <w:t xml:space="preserve">numerous </w:t>
      </w:r>
      <w:r w:rsidR="00FF4F6E">
        <w:t xml:space="preserve">self-represented litigants in Serene and Scenic Hills, </w:t>
      </w:r>
      <w:r w:rsidR="001A1C70">
        <w:t>The San Antonio Rose Palace, Inc. and Strait Promotions, Inc. (“</w:t>
      </w:r>
      <w:r w:rsidR="00FF4F6E">
        <w:t>Rose Palace</w:t>
      </w:r>
      <w:r w:rsidR="001A1C70">
        <w:t>”)</w:t>
      </w:r>
      <w:r w:rsidR="00FF4F6E">
        <w:t xml:space="preserve">, </w:t>
      </w:r>
      <w:r w:rsidR="001A1C70">
        <w:t xml:space="preserve">Brad Jauer and </w:t>
      </w:r>
      <w:proofErr w:type="spellStart"/>
      <w:r w:rsidR="001A1C70">
        <w:t>BVJ</w:t>
      </w:r>
      <w:proofErr w:type="spellEnd"/>
      <w:r w:rsidR="001A1C70">
        <w:t xml:space="preserve"> Properties, L.L.C. (“</w:t>
      </w:r>
      <w:r w:rsidR="00FF4F6E">
        <w:t>Jauer</w:t>
      </w:r>
      <w:r w:rsidR="001A1C70">
        <w:t>”)</w:t>
      </w:r>
      <w:r w:rsidR="00FF4F6E">
        <w:t xml:space="preserve">, Anaqua Springs HOA, </w:t>
      </w:r>
      <w:r w:rsidR="004E01DE">
        <w:t xml:space="preserve">Patrick Cleveland, </w:t>
      </w:r>
      <w:r w:rsidR="00FF4F6E">
        <w:t>the Barrera family, Raul Figueroa)</w:t>
      </w:r>
      <w:r w:rsidR="004E01DE">
        <w:rPr>
          <w:rStyle w:val="FootnoteReference"/>
        </w:rPr>
        <w:footnoteReference w:id="2"/>
      </w:r>
      <w:r w:rsidR="00FF4F6E">
        <w:t xml:space="preserve"> and those who support routes on </w:t>
      </w:r>
      <w:r w:rsidR="00255952">
        <w:t xml:space="preserve">Toutant Beauregard </w:t>
      </w:r>
      <w:r w:rsidR="00FF4F6E">
        <w:t>(S</w:t>
      </w:r>
      <w:r w:rsidR="001A1C70">
        <w:t>ave Huntress Lane Area Association (“</w:t>
      </w:r>
      <w:proofErr w:type="spellStart"/>
      <w:r w:rsidR="001A1C70">
        <w:t>SHLAA</w:t>
      </w:r>
      <w:proofErr w:type="spellEnd"/>
      <w:r w:rsidR="001A1C70">
        <w:t>”)</w:t>
      </w:r>
      <w:r w:rsidR="00FF4F6E">
        <w:t>, Clearwater Ranch</w:t>
      </w:r>
      <w:r w:rsidR="001A1C70">
        <w:t xml:space="preserve"> POA (“Clearwater Ranch”)</w:t>
      </w:r>
      <w:r w:rsidR="00FF4F6E">
        <w:t>, Bexar Ranch</w:t>
      </w:r>
      <w:r w:rsidR="001A1C70">
        <w:t xml:space="preserve"> L.P. (“Bexar Ranch”)</w:t>
      </w:r>
      <w:r w:rsidR="00FF4F6E">
        <w:t xml:space="preserve">, </w:t>
      </w:r>
      <w:r w:rsidR="00703995">
        <w:t xml:space="preserve">and </w:t>
      </w:r>
      <w:proofErr w:type="spellStart"/>
      <w:r w:rsidR="00FF4F6E">
        <w:t>Guajalote</w:t>
      </w:r>
      <w:proofErr w:type="spellEnd"/>
      <w:r w:rsidR="00FF4F6E">
        <w:t xml:space="preserve"> Ranch</w:t>
      </w:r>
      <w:r w:rsidR="001A1C70">
        <w:t xml:space="preserve"> Inc. ("</w:t>
      </w:r>
      <w:proofErr w:type="spellStart"/>
      <w:r w:rsidR="001A1C70">
        <w:t>Guajalote</w:t>
      </w:r>
      <w:proofErr w:type="spellEnd"/>
      <w:r w:rsidR="001A1C70">
        <w:t xml:space="preserve"> Ranch”)</w:t>
      </w:r>
      <w:r w:rsidR="008E6888">
        <w:t>).  Notably, in briefing, the Chandler parties have asserted for the first time that</w:t>
      </w:r>
      <w:r w:rsidR="00560578">
        <w:t>,</w:t>
      </w:r>
      <w:r w:rsidR="008E6888">
        <w:t xml:space="preserve"> in addition to their proposed Route AA2, they also support routes R1, P, W</w:t>
      </w:r>
      <w:r w:rsidR="00933C5B">
        <w:t>, and any route that does not utilize Segment 40</w:t>
      </w:r>
      <w:r w:rsidR="008E6888">
        <w:t>.</w:t>
      </w:r>
      <w:r w:rsidR="00644A73">
        <w:rPr>
          <w:rStyle w:val="FootnoteReference"/>
        </w:rPr>
        <w:footnoteReference w:id="3"/>
      </w:r>
      <w:r w:rsidR="00840B9B">
        <w:t xml:space="preserve">  </w:t>
      </w:r>
      <w:r w:rsidR="00C32400">
        <w:t>The Gutierrez Trust opposes Segment 57, but it is not impacted by the central routes.</w:t>
      </w:r>
    </w:p>
    <w:p w14:paraId="1672E32C" w14:textId="4ED0EC11" w:rsidR="00840B9B" w:rsidRDefault="00840B9B" w:rsidP="00840B9B">
      <w:pPr>
        <w:jc w:val="both"/>
      </w:pPr>
      <w:r>
        <w:tab/>
      </w:r>
      <w:r w:rsidR="00E94113">
        <w:t xml:space="preserve">No party wants this transmission line on their property.  However, community values </w:t>
      </w:r>
      <w:r w:rsidR="00866D30">
        <w:t>overwhelmingly</w:t>
      </w:r>
      <w:r w:rsidR="00E94113">
        <w:t xml:space="preserve"> favor avoiding impacts to residences.</w:t>
      </w:r>
      <w:r w:rsidR="00E94113">
        <w:rPr>
          <w:rStyle w:val="FootnoteReference"/>
        </w:rPr>
        <w:footnoteReference w:id="4"/>
      </w:r>
      <w:r w:rsidR="00E94113">
        <w:t xml:space="preserve">  The routes that have the greatest number </w:t>
      </w:r>
      <w:r w:rsidR="00E94113">
        <w:lastRenderedPageBreak/>
        <w:t xml:space="preserve">of homes are all along </w:t>
      </w:r>
      <w:r w:rsidR="00255952">
        <w:t>Toutant Beauregard</w:t>
      </w:r>
      <w:r w:rsidR="00E94113">
        <w:t xml:space="preserve">.  In fact, Segment 54 alone has more homes than </w:t>
      </w:r>
      <w:r w:rsidR="00CF7697">
        <w:t>the entirety of some other routes.</w:t>
      </w:r>
    </w:p>
    <w:p w14:paraId="70F8D8A3" w14:textId="1A159EF1" w:rsidR="0039435D" w:rsidRDefault="00185225" w:rsidP="00840B9B">
      <w:pPr>
        <w:jc w:val="both"/>
      </w:pPr>
      <w:r>
        <w:tab/>
      </w:r>
      <w:proofErr w:type="spellStart"/>
      <w:r>
        <w:t>SHLAA</w:t>
      </w:r>
      <w:proofErr w:type="spellEnd"/>
      <w:r>
        <w:t xml:space="preserve"> has argued that only one landowner on </w:t>
      </w:r>
      <w:r w:rsidR="00255952">
        <w:t xml:space="preserve">Toutant Beauregard </w:t>
      </w:r>
      <w:r>
        <w:t xml:space="preserve">has intervened, thereby implying that those </w:t>
      </w:r>
      <w:r w:rsidR="002B3A21">
        <w:t>landowners</w:t>
      </w:r>
      <w:r>
        <w:t xml:space="preserve"> have not shown the same interest in this C</w:t>
      </w:r>
      <w:r w:rsidR="00096F0E">
        <w:t>ertificate of Convenience and Necessity (“</w:t>
      </w:r>
      <w:proofErr w:type="spellStart"/>
      <w:r w:rsidR="00096F0E">
        <w:t>C</w:t>
      </w:r>
      <w:r>
        <w:t>CN</w:t>
      </w:r>
      <w:proofErr w:type="spellEnd"/>
      <w:r w:rsidR="00096F0E">
        <w:t>”)</w:t>
      </w:r>
      <w:r>
        <w:t xml:space="preserve"> proceeding as other intervenors, particularly </w:t>
      </w:r>
      <w:proofErr w:type="spellStart"/>
      <w:r>
        <w:t>SHLAA</w:t>
      </w:r>
      <w:proofErr w:type="spellEnd"/>
      <w:r>
        <w:t xml:space="preserve">.  </w:t>
      </w:r>
      <w:r w:rsidR="00692996">
        <w:t>To the contrary, over 70 people in the Serene and Scenic Hills neighborhood filed comments or motions to intervene</w:t>
      </w:r>
      <w:r w:rsidR="0039435D">
        <w:t>.</w:t>
      </w:r>
      <w:r w:rsidR="0039435D" w:rsidRPr="0039435D">
        <w:rPr>
          <w:rStyle w:val="FootnoteReference"/>
        </w:rPr>
        <w:t xml:space="preserve"> </w:t>
      </w:r>
      <w:r w:rsidR="0039435D">
        <w:rPr>
          <w:rStyle w:val="FootnoteReference"/>
        </w:rPr>
        <w:footnoteReference w:id="5"/>
      </w:r>
      <w:r w:rsidR="0039435D">
        <w:t xml:space="preserve">  They did so independently without the organizing force of an attorney to assist them. </w:t>
      </w:r>
    </w:p>
    <w:p w14:paraId="7F174A8A" w14:textId="21B8AB4C" w:rsidR="00185225" w:rsidRDefault="0039435D" w:rsidP="0039435D">
      <w:pPr>
        <w:ind w:firstLine="720"/>
        <w:jc w:val="both"/>
      </w:pPr>
      <w:r>
        <w:t>Additionally, t</w:t>
      </w:r>
      <w:r w:rsidR="00185225">
        <w:t xml:space="preserve">his case is not about who has invested the most time or money in the case or who has the means to hire an attorney to argue for them or </w:t>
      </w:r>
      <w:r w:rsidR="000125F2">
        <w:t>who</w:t>
      </w:r>
      <w:r w:rsidR="00185225">
        <w:t xml:space="preserve"> has the time to understand the procedural process of this case.  </w:t>
      </w:r>
      <w:r w:rsidR="00C00D48">
        <w:t xml:space="preserve">Additionally, </w:t>
      </w:r>
      <w:proofErr w:type="spellStart"/>
      <w:r w:rsidR="00C00D48">
        <w:t>NISD</w:t>
      </w:r>
      <w:proofErr w:type="spellEnd"/>
      <w:r w:rsidR="00C00D48">
        <w:t xml:space="preserve"> represents the interests of hundreds of elementary school children, future middle school children, as well as the district’s desire to protect the taxpayer </w:t>
      </w:r>
      <w:r>
        <w:t xml:space="preserve">funded </w:t>
      </w:r>
      <w:r w:rsidR="00C00D48">
        <w:t xml:space="preserve">investments already made in purchasing, planning, and developing infrastructure for the middle school property.  </w:t>
      </w:r>
      <w:r w:rsidR="00C47B7E">
        <w:t>The A</w:t>
      </w:r>
      <w:r w:rsidR="00096F0E">
        <w:t>dministrative Law Judge</w:t>
      </w:r>
      <w:r w:rsidR="00C47B7E">
        <w:t xml:space="preserve">s </w:t>
      </w:r>
      <w:r w:rsidR="00096F0E">
        <w:t>(“</w:t>
      </w:r>
      <w:proofErr w:type="spellStart"/>
      <w:r w:rsidR="00096F0E">
        <w:t>ALJs</w:t>
      </w:r>
      <w:proofErr w:type="spellEnd"/>
      <w:r w:rsidR="00096F0E">
        <w:t xml:space="preserve">”) </w:t>
      </w:r>
      <w:r w:rsidR="00C47B7E">
        <w:t xml:space="preserve">should give little weight to </w:t>
      </w:r>
      <w:proofErr w:type="spellStart"/>
      <w:r w:rsidR="004A6728">
        <w:t>SHLAA’s</w:t>
      </w:r>
      <w:proofErr w:type="spellEnd"/>
      <w:r w:rsidR="00933C5B">
        <w:t xml:space="preserve"> dismissive</w:t>
      </w:r>
      <w:r w:rsidR="00C47B7E">
        <w:t xml:space="preserve"> argument</w:t>
      </w:r>
      <w:r w:rsidR="00933C5B">
        <w:t xml:space="preserve"> regarding the interests of and the impacts on the </w:t>
      </w:r>
      <w:r w:rsidR="00255952">
        <w:t>Toutant</w:t>
      </w:r>
      <w:r w:rsidR="000B336E">
        <w:t xml:space="preserve"> Beaurega</w:t>
      </w:r>
      <w:r w:rsidR="00F82023">
        <w:t>r</w:t>
      </w:r>
      <w:r w:rsidR="000B336E">
        <w:t>d</w:t>
      </w:r>
      <w:r w:rsidR="00255952">
        <w:t xml:space="preserve"> </w:t>
      </w:r>
      <w:r w:rsidR="00933C5B">
        <w:t>landowners.  These</w:t>
      </w:r>
      <w:r w:rsidR="00C47B7E">
        <w:t xml:space="preserve"> landowners, particularly </w:t>
      </w:r>
      <w:r w:rsidR="00BB08BB">
        <w:t xml:space="preserve">those </w:t>
      </w:r>
      <w:r w:rsidR="00C47B7E">
        <w:t>along Segment 54</w:t>
      </w:r>
      <w:r w:rsidR="00BB08BB">
        <w:t>,</w:t>
      </w:r>
      <w:r w:rsidR="00C47B7E">
        <w:t xml:space="preserve"> own small lots and having a 75-100 foot easement through their property will take significant portion</w:t>
      </w:r>
      <w:r w:rsidR="00623860">
        <w:t>s</w:t>
      </w:r>
      <w:r w:rsidR="00C47B7E">
        <w:t xml:space="preserve"> of their land. </w:t>
      </w:r>
      <w:r w:rsidR="00096F0E">
        <w:t xml:space="preserve"> </w:t>
      </w:r>
      <w:r w:rsidR="00D11D47">
        <w:t xml:space="preserve">Contrary to </w:t>
      </w:r>
      <w:proofErr w:type="spellStart"/>
      <w:r w:rsidR="00D11D47">
        <w:t>SHLAA’s</w:t>
      </w:r>
      <w:proofErr w:type="spellEnd"/>
      <w:r w:rsidR="00D11D47">
        <w:t xml:space="preserve"> assertions, these individuals are </w:t>
      </w:r>
      <w:r w:rsidR="00485186">
        <w:t>concerned</w:t>
      </w:r>
      <w:r w:rsidR="00D11D47">
        <w:t xml:space="preserve"> about the </w:t>
      </w:r>
      <w:r w:rsidR="00485186">
        <w:t>transmission</w:t>
      </w:r>
      <w:r w:rsidR="00D11D47">
        <w:t xml:space="preserve"> line and oppose it.</w:t>
      </w:r>
    </w:p>
    <w:p w14:paraId="5FFB3E8C" w14:textId="5B395ED1" w:rsidR="00416BD7" w:rsidRDefault="00416BD7" w:rsidP="00BE3521">
      <w:pPr>
        <w:pStyle w:val="CROutline3"/>
      </w:pPr>
      <w:bookmarkStart w:id="6" w:name="_Toc73025949"/>
      <w:r w:rsidRPr="00507A39">
        <w:t>Historical Values</w:t>
      </w:r>
      <w:bookmarkEnd w:id="6"/>
      <w:r w:rsidR="00507A39">
        <w:t xml:space="preserve">  </w:t>
      </w:r>
    </w:p>
    <w:p w14:paraId="42F76339" w14:textId="2982799E" w:rsidR="00C011EE" w:rsidRDefault="00C011EE" w:rsidP="00C011EE">
      <w:pPr>
        <w:ind w:firstLine="720"/>
        <w:jc w:val="both"/>
      </w:pPr>
      <w:r>
        <w:t xml:space="preserve">Anaqua Springs HOA adopts by reference </w:t>
      </w:r>
      <w:r w:rsidR="006D4D73">
        <w:t>Rose Palace</w:t>
      </w:r>
      <w:r w:rsidR="00560578">
        <w:t>/Jauer’s joint</w:t>
      </w:r>
      <w:r w:rsidR="002758FC">
        <w:t xml:space="preserve"> </w:t>
      </w:r>
      <w:r>
        <w:t xml:space="preserve">reply brief on the historical values issues. </w:t>
      </w:r>
    </w:p>
    <w:p w14:paraId="0F327EA3" w14:textId="104EB81C" w:rsidR="00452936" w:rsidRPr="00C011EE" w:rsidRDefault="00452936" w:rsidP="00C011EE">
      <w:pPr>
        <w:ind w:firstLine="720"/>
        <w:jc w:val="both"/>
      </w:pPr>
      <w:r>
        <w:lastRenderedPageBreak/>
        <w:t>Bexar Ranch continues to argue about its own “historical value.”</w:t>
      </w:r>
      <w:r w:rsidR="005B28E2">
        <w:t xml:space="preserve"> </w:t>
      </w:r>
      <w:r>
        <w:t xml:space="preserve"> </w:t>
      </w:r>
      <w:r w:rsidR="006D055C">
        <w:t xml:space="preserve">However, </w:t>
      </w:r>
      <w:r>
        <w:t xml:space="preserve">Bexar Ranch, unlike the Heidemann ranch, </w:t>
      </w:r>
      <w:r w:rsidR="00560578">
        <w:t xml:space="preserve">unlike the White Ranch, </w:t>
      </w:r>
      <w:r>
        <w:t xml:space="preserve">and unlike </w:t>
      </w:r>
      <w:r w:rsidR="00255952">
        <w:t>Toutant Beauregard</w:t>
      </w:r>
      <w:r>
        <w:t xml:space="preserve">, has no historical designation.  </w:t>
      </w:r>
    </w:p>
    <w:p w14:paraId="449B7B84" w14:textId="1CB37847" w:rsidR="00416BD7" w:rsidRDefault="007A2880" w:rsidP="00BE3521">
      <w:pPr>
        <w:pStyle w:val="CROutline3"/>
      </w:pPr>
      <w:bookmarkStart w:id="7" w:name="_Toc73025950"/>
      <w:r w:rsidRPr="00705D50">
        <w:t>Parks and recreation areas</w:t>
      </w:r>
      <w:bookmarkEnd w:id="7"/>
    </w:p>
    <w:p w14:paraId="22F189E2" w14:textId="15A8EA40" w:rsidR="007409C5" w:rsidRPr="00640B67" w:rsidRDefault="00E81483" w:rsidP="007409C5">
      <w:pPr>
        <w:ind w:firstLine="720"/>
        <w:jc w:val="both"/>
      </w:pPr>
      <w:r>
        <w:t>It is u</w:t>
      </w:r>
      <w:r w:rsidR="00640B67">
        <w:t xml:space="preserve">ncontroverted </w:t>
      </w:r>
      <w:r>
        <w:t xml:space="preserve">that the transmission line on </w:t>
      </w:r>
      <w:r w:rsidR="00277629">
        <w:t>Segment</w:t>
      </w:r>
      <w:r>
        <w:t xml:space="preserve"> </w:t>
      </w:r>
      <w:r w:rsidR="006D4D73">
        <w:t xml:space="preserve">36 </w:t>
      </w:r>
      <w:r w:rsidR="00640B67">
        <w:t>crosses dedicated parkland.</w:t>
      </w:r>
      <w:r>
        <w:rPr>
          <w:rStyle w:val="FootnoteReference"/>
        </w:rPr>
        <w:footnoteReference w:id="6"/>
      </w:r>
      <w:r>
        <w:t xml:space="preserve">  No party disagreed with that contention, and CPS Energy’s </w:t>
      </w:r>
      <w:r w:rsidR="00333871">
        <w:t xml:space="preserve">environmental assessment has not been amended to correct its </w:t>
      </w:r>
      <w:r w:rsidR="005161AF">
        <w:t>erroneous conclusion</w:t>
      </w:r>
      <w:r w:rsidR="00333871">
        <w:t xml:space="preserve"> that there are no parks or recreation areas in the study area.</w:t>
      </w:r>
      <w:r w:rsidR="007409C5">
        <w:t xml:space="preserve">  CPS</w:t>
      </w:r>
      <w:r w:rsidR="00302D07">
        <w:t xml:space="preserve"> Energy</w:t>
      </w:r>
      <w:r w:rsidR="007409C5">
        <w:t xml:space="preserve"> should not be able to simply ignore facts that </w:t>
      </w:r>
      <w:r w:rsidR="00302D07">
        <w:t>do not</w:t>
      </w:r>
      <w:r w:rsidR="007409C5">
        <w:t xml:space="preserve"> support CPS</w:t>
      </w:r>
      <w:r w:rsidR="00302D07">
        <w:t xml:space="preserve"> Energy’s</w:t>
      </w:r>
      <w:r w:rsidR="007409C5">
        <w:t xml:space="preserve"> chosen route.</w:t>
      </w:r>
    </w:p>
    <w:p w14:paraId="1BDE5E0F" w14:textId="0DF47EA3" w:rsidR="00416BD7" w:rsidRPr="00E227D2" w:rsidRDefault="00416BD7" w:rsidP="00BE3521">
      <w:pPr>
        <w:pStyle w:val="CROutline2"/>
      </w:pPr>
      <w:bookmarkStart w:id="8" w:name="_Toc73025951"/>
      <w:r w:rsidRPr="00E227D2">
        <w:t>Routing Criteria under 16 TAC § 25.101(b)(3)(B)</w:t>
      </w:r>
      <w:bookmarkEnd w:id="8"/>
    </w:p>
    <w:p w14:paraId="3CCB1687" w14:textId="36CA136F" w:rsidR="00416BD7" w:rsidRDefault="00416BD7" w:rsidP="00BE3521">
      <w:pPr>
        <w:pStyle w:val="CROutline3"/>
      </w:pPr>
      <w:bookmarkStart w:id="9" w:name="_Toc73025952"/>
      <w:r w:rsidRPr="00E227D2">
        <w:t>Engineering Constraints</w:t>
      </w:r>
      <w:bookmarkEnd w:id="9"/>
    </w:p>
    <w:p w14:paraId="01586C15" w14:textId="53B6D4CE" w:rsidR="003A5E85" w:rsidRDefault="003A5E85" w:rsidP="003A5E85">
      <w:pPr>
        <w:ind w:firstLine="720"/>
        <w:jc w:val="both"/>
      </w:pPr>
      <w:r>
        <w:t xml:space="preserve">Anaqua Springs HOA adopts by reference </w:t>
      </w:r>
      <w:r w:rsidR="00560578">
        <w:t>Rose Palace/</w:t>
      </w:r>
      <w:r>
        <w:t>Jauer’s reply brief on the issues of engineering constraints.</w:t>
      </w:r>
    </w:p>
    <w:p w14:paraId="049FA205" w14:textId="587BEBC8" w:rsidR="00CC3EAE" w:rsidRDefault="003A5E85" w:rsidP="00204882">
      <w:pPr>
        <w:ind w:firstLine="720"/>
        <w:jc w:val="both"/>
        <w:rPr>
          <w:sz w:val="22"/>
        </w:rPr>
      </w:pPr>
      <w:r>
        <w:t>Bexar Ranch alludes to engineering constraints in saying that its property is rough and difficult to access</w:t>
      </w:r>
      <w:r w:rsidR="00994C6C">
        <w:t>, but even the testimony cited by Bexar Ranch undercuts its position:  CPS has successfully navigated the terrain for transmission line construction projects.</w:t>
      </w:r>
      <w:r w:rsidR="00994C6C">
        <w:rPr>
          <w:rStyle w:val="FootnoteReference"/>
        </w:rPr>
        <w:footnoteReference w:id="7"/>
      </w:r>
      <w:r w:rsidR="00994C6C">
        <w:t xml:space="preserve">  More to the point, the existing 138kV line in Bexar Ranch was constructed in 1965.</w:t>
      </w:r>
      <w:r w:rsidR="00994C6C">
        <w:rPr>
          <w:rStyle w:val="FootnoteReference"/>
        </w:rPr>
        <w:footnoteReference w:id="8"/>
      </w:r>
      <w:r w:rsidR="00994C6C">
        <w:t xml:space="preserve">  And advances in construction and transportation technology over the past 56 years will have made CPS’s task easier should it build the line across the same type of terrain crossed in 1965.</w:t>
      </w:r>
      <w:r w:rsidR="00CC3EAE">
        <w:t xml:space="preserve">  In fact, it appears that CPS would </w:t>
      </w:r>
      <w:r w:rsidR="00CC3EAE">
        <w:lastRenderedPageBreak/>
        <w:t xml:space="preserve">agree, given that it states in its Initial Post-Hearing Brief that all proposed routes are “constructible route alternatives” that “can be feasibly constructed, operated, and maintained by </w:t>
      </w:r>
      <w:r w:rsidR="00256417">
        <w:t>CPS</w:t>
      </w:r>
      <w:r w:rsidR="00CC3EAE">
        <w:t xml:space="preserve"> Energy.”</w:t>
      </w:r>
      <w:r w:rsidR="00CC3EAE">
        <w:rPr>
          <w:rStyle w:val="FootnoteReference"/>
        </w:rPr>
        <w:footnoteReference w:id="9"/>
      </w:r>
    </w:p>
    <w:p w14:paraId="562C11E8" w14:textId="0E00B8F6" w:rsidR="00416BD7" w:rsidRDefault="00416BD7" w:rsidP="00BE3521">
      <w:pPr>
        <w:pStyle w:val="CROutline3"/>
      </w:pPr>
      <w:bookmarkStart w:id="10" w:name="_Toc73025953"/>
      <w:r w:rsidRPr="0001451F">
        <w:t>Cost</w:t>
      </w:r>
      <w:bookmarkEnd w:id="10"/>
    </w:p>
    <w:p w14:paraId="4CC461F3" w14:textId="2C2D3D3B" w:rsidR="005E6DD3" w:rsidRPr="005E6DD3" w:rsidRDefault="005E6DD3" w:rsidP="009A45EE">
      <w:pPr>
        <w:ind w:firstLine="720"/>
        <w:jc w:val="both"/>
      </w:pPr>
      <w:r>
        <w:t xml:space="preserve">Anaqua Springs HOA adopts by reference </w:t>
      </w:r>
      <w:r w:rsidR="00560578">
        <w:t>Rose Palace/</w:t>
      </w:r>
      <w:r>
        <w:t>Jauer’s reply brief on the issues of cost.</w:t>
      </w:r>
    </w:p>
    <w:p w14:paraId="73B7DB74" w14:textId="56650A1D" w:rsidR="00416BD7" w:rsidRDefault="00416BD7" w:rsidP="00BE3521">
      <w:pPr>
        <w:pStyle w:val="CROutline3"/>
      </w:pPr>
      <w:bookmarkStart w:id="11" w:name="_Toc73025954"/>
      <w:r w:rsidRPr="004C4306">
        <w:t>Moderation of Impact on Affected Community and Landowners</w:t>
      </w:r>
      <w:bookmarkEnd w:id="11"/>
    </w:p>
    <w:p w14:paraId="7D41DBA4" w14:textId="73C3720D" w:rsidR="00F05857" w:rsidRDefault="00F05857" w:rsidP="00F05857">
      <w:pPr>
        <w:pStyle w:val="CROutline4"/>
      </w:pPr>
      <w:bookmarkStart w:id="12" w:name="_Toc73025955"/>
      <w:r>
        <w:t>Anaqua Springs</w:t>
      </w:r>
      <w:bookmarkEnd w:id="12"/>
    </w:p>
    <w:p w14:paraId="2BFB5EF3" w14:textId="36F9D061" w:rsidR="00F05857" w:rsidRPr="00F05857" w:rsidRDefault="00F05857" w:rsidP="00F05857">
      <w:pPr>
        <w:ind w:firstLine="720"/>
        <w:jc w:val="both"/>
      </w:pPr>
      <w:r>
        <w:t>Certain parties argue that CPS Energy will span the Anaqua Springs entrance, thereby moderating the impact</w:t>
      </w:r>
      <w:r w:rsidR="00881C81">
        <w:t xml:space="preserve"> of the line on Anaqua Springs</w:t>
      </w:r>
      <w:r>
        <w:t>.</w:t>
      </w:r>
      <w:r w:rsidR="00ED7B4B">
        <w:t xml:space="preserve">  CPS Energy was clear throughout this proceeding that the line has not been designed</w:t>
      </w:r>
      <w:r w:rsidR="00560578">
        <w:t>,</w:t>
      </w:r>
      <w:r w:rsidR="00ED7B4B">
        <w:t xml:space="preserve"> and while it appears that </w:t>
      </w:r>
      <w:r w:rsidR="00D37BAE">
        <w:t xml:space="preserve">it might be possible to span </w:t>
      </w:r>
      <w:r w:rsidR="00ED7B4B">
        <w:t xml:space="preserve">the entrance to Anaqua Springs, </w:t>
      </w:r>
      <w:r w:rsidR="00D37BAE">
        <w:t>CPS Energy</w:t>
      </w:r>
      <w:r w:rsidR="00ED7B4B">
        <w:t xml:space="preserve"> could not guarantee that they would span it.</w:t>
      </w:r>
      <w:r w:rsidR="00E61DE6">
        <w:rPr>
          <w:rStyle w:val="FootnoteReference"/>
        </w:rPr>
        <w:footnoteReference w:id="10"/>
      </w:r>
      <w:r w:rsidR="003B3577">
        <w:t xml:space="preserve">  Furthermore, the argument that Anaqua Springs’ entrance can be spanned fails to consider the </w:t>
      </w:r>
      <w:r w:rsidR="00F961D9">
        <w:t xml:space="preserve">other </w:t>
      </w:r>
      <w:r w:rsidR="00645E68">
        <w:t>detriment</w:t>
      </w:r>
      <w:r w:rsidR="00F961D9">
        <w:t xml:space="preserve"> impacts of routes along </w:t>
      </w:r>
      <w:r w:rsidR="00255952">
        <w:t>Toutant Beauregard</w:t>
      </w:r>
      <w:r w:rsidR="00F961D9">
        <w:t xml:space="preserve">, particularly the </w:t>
      </w:r>
      <w:r w:rsidR="003B3577">
        <w:t xml:space="preserve">high number of habitable structures along </w:t>
      </w:r>
      <w:r w:rsidR="00255952">
        <w:t>Toutant Beauregard</w:t>
      </w:r>
      <w:r w:rsidR="003B3577">
        <w:t>, including those on which construction has begun in Scenic Crest and in Pecan Springs.</w:t>
      </w:r>
      <w:r w:rsidR="00994173">
        <w:rPr>
          <w:rStyle w:val="FootnoteReference"/>
        </w:rPr>
        <w:footnoteReference w:id="11"/>
      </w:r>
    </w:p>
    <w:p w14:paraId="3EA0EB81" w14:textId="5EF301D4" w:rsidR="00DE02BD" w:rsidRDefault="00163C86" w:rsidP="00BE3521">
      <w:pPr>
        <w:pStyle w:val="CROutline4"/>
      </w:pPr>
      <w:bookmarkStart w:id="13" w:name="_Toc73025956"/>
      <w:r>
        <w:t>Bexar Ranch</w:t>
      </w:r>
      <w:bookmarkEnd w:id="13"/>
    </w:p>
    <w:p w14:paraId="55578785" w14:textId="1AC22632" w:rsidR="0058500E" w:rsidRDefault="00996487" w:rsidP="007E347B">
      <w:pPr>
        <w:ind w:firstLine="720"/>
        <w:jc w:val="both"/>
      </w:pPr>
      <w:r>
        <w:t xml:space="preserve">Bexar Ranch contends that no other property stands to experience the same breadth of a taking as it does if the line is routed </w:t>
      </w:r>
      <w:r w:rsidR="00EB0CE5">
        <w:t xml:space="preserve">along any segment that touches Bexar Ranch.  It is likely that Raul Figueroa and the property owners on Segments 17 and 54 would strongly dispute that contention. </w:t>
      </w:r>
      <w:r w:rsidR="005B28E2">
        <w:t xml:space="preserve"> </w:t>
      </w:r>
      <w:r w:rsidR="0058500E">
        <w:t xml:space="preserve">Bexar Ranch is </w:t>
      </w:r>
      <w:r w:rsidR="00181B84">
        <w:t xml:space="preserve">a limited partnership, presumably </w:t>
      </w:r>
      <w:r w:rsidR="0058500E">
        <w:t>owned</w:t>
      </w:r>
      <w:r w:rsidR="00181B84">
        <w:t xml:space="preserve"> in some manner</w:t>
      </w:r>
      <w:r w:rsidR="0058500E">
        <w:t xml:space="preserve"> by the Bitter </w:t>
      </w:r>
      <w:r w:rsidR="0058500E">
        <w:lastRenderedPageBreak/>
        <w:t>family.  But none of the family members live on the ranch.</w:t>
      </w:r>
      <w:r w:rsidR="00C3590B">
        <w:rPr>
          <w:rStyle w:val="FootnoteReference"/>
        </w:rPr>
        <w:footnoteReference w:id="12"/>
      </w:r>
      <w:r w:rsidR="00A6392D">
        <w:t xml:space="preserve">  Thus, none of the family members will have a transmission line running through their </w:t>
      </w:r>
      <w:r w:rsidR="00C80706">
        <w:t>homestead</w:t>
      </w:r>
      <w:r w:rsidR="00A6392D">
        <w:t>.</w:t>
      </w:r>
      <w:r w:rsidR="00FC3C59">
        <w:t xml:space="preserve">  Bexar Ranch is nearly 3,200 acres.</w:t>
      </w:r>
      <w:r w:rsidR="00353B19">
        <w:rPr>
          <w:rStyle w:val="FootnoteReference"/>
        </w:rPr>
        <w:footnoteReference w:id="13"/>
      </w:r>
      <w:r w:rsidR="00C80706">
        <w:t xml:space="preserve">  </w:t>
      </w:r>
      <w:r w:rsidR="009B6256">
        <w:t>There are no habitable structures on Bexar Ranch within 300 feet of any of the proposed segments.</w:t>
      </w:r>
      <w:r w:rsidR="009B6256">
        <w:rPr>
          <w:rStyle w:val="FootnoteReference"/>
        </w:rPr>
        <w:footnoteReference w:id="14"/>
      </w:r>
      <w:r w:rsidR="009B6256">
        <w:t xml:space="preserve">  </w:t>
      </w:r>
      <w:r w:rsidR="000D39F5">
        <w:t xml:space="preserve">Furthermore, given the size of Bexar Ranch, </w:t>
      </w:r>
      <w:r w:rsidR="00BA7CC7">
        <w:t xml:space="preserve">if </w:t>
      </w:r>
      <w:r w:rsidR="000D39F5">
        <w:t xml:space="preserve">the Bitter family members are on the ranch, they </w:t>
      </w:r>
      <w:r w:rsidR="00BA7CC7">
        <w:t>can still enjoy large swaths of land that are not impacted by the transmission line</w:t>
      </w:r>
      <w:r w:rsidR="000D39F5">
        <w:t xml:space="preserve">.  They might see the lines, but the lines would not be by their homes.  The same is not true for the people who have a home close to one of the proposed segments.  The Serene and Scenic Hills intervenors and those who filed comments, are all at risk of having a transmission line run close to their homes.  Mr. Figueroa is faced with the possibility of a line running on three sides of his home.  </w:t>
      </w:r>
      <w:r w:rsidR="00812573">
        <w:t xml:space="preserve">Bexar Ranch does not even mention Mr. Figueroa in its brief.  </w:t>
      </w:r>
      <w:r w:rsidR="000D39F5">
        <w:t xml:space="preserve">The sheer breadth of taking a portion of a homestead property is much more than running a line through open land </w:t>
      </w:r>
      <w:r w:rsidR="00110F86">
        <w:t xml:space="preserve">with </w:t>
      </w:r>
      <w:r w:rsidR="00624634">
        <w:t>absentee landowners, not near a habitable structure.</w:t>
      </w:r>
    </w:p>
    <w:p w14:paraId="2A97ACE4" w14:textId="53600966" w:rsidR="005F6D6D" w:rsidRDefault="007E347B" w:rsidP="005F6D6D">
      <w:pPr>
        <w:ind w:firstLine="720"/>
        <w:jc w:val="both"/>
      </w:pPr>
      <w:r>
        <w:t>Bexar Ranch does have an existing transmission line on its western border.</w:t>
      </w:r>
      <w:r>
        <w:rPr>
          <w:rStyle w:val="FootnoteReference"/>
        </w:rPr>
        <w:footnoteReference w:id="15"/>
      </w:r>
      <w:r>
        <w:t xml:space="preserve">  That transmission line was built sometime in the mid-1960s.  The original easement for that line shows a date of 1965, long before CPS Energy was required </w:t>
      </w:r>
      <w:r w:rsidR="00BA7CC7">
        <w:t>by statute</w:t>
      </w:r>
      <w:r w:rsidR="005D2563">
        <w:t xml:space="preserve"> </w:t>
      </w:r>
      <w:r>
        <w:t xml:space="preserve">to seek a </w:t>
      </w:r>
      <w:proofErr w:type="spellStart"/>
      <w:r>
        <w:t>CCN</w:t>
      </w:r>
      <w:proofErr w:type="spellEnd"/>
      <w:r>
        <w:t xml:space="preserve"> from the Commission for a transmission line.  Additionally, the easement was not granted by Bexar Ranch, but by the White Ranch.</w:t>
      </w:r>
      <w:r>
        <w:rPr>
          <w:rStyle w:val="FootnoteReference"/>
        </w:rPr>
        <w:footnoteReference w:id="16"/>
      </w:r>
      <w:r>
        <w:t xml:space="preserve">  Bexar Ranch separated from White Ranch sometime in the 1970s.</w:t>
      </w:r>
      <w:r>
        <w:rPr>
          <w:rStyle w:val="FootnoteReference"/>
        </w:rPr>
        <w:footnoteReference w:id="17"/>
      </w:r>
      <w:r>
        <w:t xml:space="preserve">  </w:t>
      </w:r>
      <w:r>
        <w:lastRenderedPageBreak/>
        <w:t xml:space="preserve">Thus, when Bexar Ranch separated from White Ranch, Bexar Ranch </w:t>
      </w:r>
      <w:r w:rsidR="00F260C4">
        <w:t>agreed to take</w:t>
      </w:r>
      <w:r>
        <w:t xml:space="preserve"> the transmission line on its property.  Yet, it now complains about having the transmission line when that line has always served as the western boundary of the ranch.</w:t>
      </w:r>
      <w:r w:rsidR="005F6D6D">
        <w:t xml:space="preserve"> </w:t>
      </w:r>
      <w:r w:rsidR="002758FC">
        <w:t xml:space="preserve"> </w:t>
      </w:r>
      <w:r w:rsidR="005F6D6D">
        <w:t>Therefore, Bexar Ranch’s argument</w:t>
      </w:r>
      <w:r w:rsidR="00F260C4">
        <w:t>s based on the existing</w:t>
      </w:r>
      <w:r w:rsidR="005F6D6D">
        <w:t xml:space="preserve"> transmission line should be given little weight.</w:t>
      </w:r>
    </w:p>
    <w:p w14:paraId="26557B01" w14:textId="496C2C22" w:rsidR="00BD32C5" w:rsidRPr="00996487" w:rsidRDefault="00BD32C5" w:rsidP="005F6D6D">
      <w:pPr>
        <w:ind w:firstLine="720"/>
        <w:jc w:val="both"/>
      </w:pPr>
      <w:r>
        <w:t>Bexar Ranch</w:t>
      </w:r>
      <w:r w:rsidR="003F2287">
        <w:t xml:space="preserve"> is correct that it lies within the Edwards Aquifer Contributing Zone</w:t>
      </w:r>
      <w:r>
        <w:t xml:space="preserve">.  However, the entire study area </w:t>
      </w:r>
      <w:r w:rsidR="00C93B0B">
        <w:t xml:space="preserve">and all alternative routes are entirely </w:t>
      </w:r>
      <w:r>
        <w:t>in the Edwards Aquifer Contributing Zone.</w:t>
      </w:r>
      <w:r>
        <w:rPr>
          <w:rStyle w:val="FootnoteReference"/>
        </w:rPr>
        <w:footnoteReference w:id="18"/>
      </w:r>
      <w:r w:rsidR="00C93B0B">
        <w:t xml:space="preserve"> </w:t>
      </w:r>
      <w:r w:rsidR="003F2287">
        <w:t xml:space="preserve">Thus, any </w:t>
      </w:r>
      <w:r w:rsidR="00C93B0B">
        <w:t>impervious cover CPS Energy puts on the land to build its transmission line</w:t>
      </w:r>
      <w:r w:rsidR="003F2287">
        <w:t xml:space="preserve"> on any route will be within that zone.  Bexar Ranch is not unique in that situation.  Furthermore, Bexar Ranch presented no evidence that having the line on its property would, in any way, </w:t>
      </w:r>
      <w:r w:rsidR="00656515">
        <w:t xml:space="preserve">prohibit it from participating in the various City of San Antonio initiatives. </w:t>
      </w:r>
    </w:p>
    <w:p w14:paraId="26086309" w14:textId="10E713C0" w:rsidR="004A034D" w:rsidRDefault="00801AB3" w:rsidP="00BE3521">
      <w:pPr>
        <w:pStyle w:val="CROutline4"/>
      </w:pPr>
      <w:bookmarkStart w:id="14" w:name="_Toc73025957"/>
      <w:r>
        <w:t>Substation Site 7</w:t>
      </w:r>
      <w:bookmarkEnd w:id="14"/>
    </w:p>
    <w:p w14:paraId="0BED6733" w14:textId="6317A468" w:rsidR="00801AB3" w:rsidRPr="00801AB3" w:rsidRDefault="00801AB3" w:rsidP="00801AB3">
      <w:pPr>
        <w:ind w:firstLine="720"/>
        <w:jc w:val="both"/>
      </w:pPr>
      <w:r>
        <w:t xml:space="preserve">Both Clearwater Ranch and Save Huntress Lane Area </w:t>
      </w:r>
      <w:r w:rsidR="009E7962">
        <w:t>Association</w:t>
      </w:r>
      <w:r>
        <w:t xml:space="preserve"> (“</w:t>
      </w:r>
      <w:proofErr w:type="spellStart"/>
      <w:r>
        <w:t>SHLAA</w:t>
      </w:r>
      <w:proofErr w:type="spellEnd"/>
      <w:r>
        <w:t xml:space="preserve">”) argue in favor of Substation Site 7 because </w:t>
      </w:r>
      <w:r w:rsidR="00883BB1">
        <w:t>they agree with CPS Energy that the larger size of the lot may provide for the possibility of partially shielding the substation from view.</w:t>
      </w:r>
      <w:r w:rsidR="009B5248">
        <w:rPr>
          <w:rStyle w:val="FootnoteReference"/>
        </w:rPr>
        <w:footnoteReference w:id="19"/>
      </w:r>
      <w:r w:rsidR="009B5248">
        <w:t xml:space="preserve">  In other words, the larger size of the lot serves to mitigate the impact of the substation.  </w:t>
      </w:r>
      <w:r w:rsidR="00B9596D">
        <w:t xml:space="preserve">These parties fail to apply the same logic when discussing the routing of the transmission line.  The lot sizes in Serene and Scenic Hills are relatively small </w:t>
      </w:r>
      <w:r w:rsidR="006E7F70">
        <w:t>– around one acre.  In contrast, the lot sizes in Clearwater Ranch are much larger, as are the lots along Huntress Lane.</w:t>
      </w:r>
      <w:r w:rsidR="00B93807">
        <w:rPr>
          <w:rStyle w:val="FootnoteReference"/>
        </w:rPr>
        <w:footnoteReference w:id="20"/>
      </w:r>
      <w:r w:rsidR="008236D8">
        <w:t xml:space="preserve">  </w:t>
      </w:r>
      <w:r w:rsidR="00E7543A">
        <w:t>In fact, a review of CPS’s Intervenor map shows them to be, by far, the largest-lot subdivisions within the study area.</w:t>
      </w:r>
      <w:r w:rsidR="00E7543A">
        <w:rPr>
          <w:rStyle w:val="FootnoteReference"/>
        </w:rPr>
        <w:footnoteReference w:id="21"/>
      </w:r>
      <w:r w:rsidR="00E7316C">
        <w:t xml:space="preserve">  </w:t>
      </w:r>
    </w:p>
    <w:p w14:paraId="71301760" w14:textId="36960209" w:rsidR="00416BD7" w:rsidRDefault="00416BD7" w:rsidP="00BE3521">
      <w:pPr>
        <w:pStyle w:val="CROutline3"/>
      </w:pPr>
      <w:bookmarkStart w:id="15" w:name="_Toc73025958"/>
      <w:r w:rsidRPr="000D7FA8">
        <w:lastRenderedPageBreak/>
        <w:t>Prudent Avoidance</w:t>
      </w:r>
      <w:bookmarkEnd w:id="15"/>
    </w:p>
    <w:p w14:paraId="33D8E864" w14:textId="440FB6D1" w:rsidR="00381D71" w:rsidRDefault="00381D71" w:rsidP="003F6528">
      <w:pPr>
        <w:ind w:firstLine="720"/>
        <w:jc w:val="both"/>
      </w:pPr>
      <w:r>
        <w:t>CPS Energy contends that all of its routes comply with the Commission’s policy on prudent avoidance.</w:t>
      </w:r>
      <w:r w:rsidR="003F6528">
        <w:rPr>
          <w:rStyle w:val="FootnoteReference"/>
        </w:rPr>
        <w:footnoteReference w:id="22"/>
      </w:r>
      <w:r w:rsidR="003F6528">
        <w:t xml:space="preserve">  </w:t>
      </w:r>
      <w:r w:rsidR="00DD2853">
        <w:t xml:space="preserve">While all routes run within 300 feet of habitable structures, the impact to people’s homes varies significantly depending on the route chosen.  </w:t>
      </w:r>
      <w:r w:rsidR="00163C86">
        <w:t>Reviewing the initial briefs of the individuals who reside in Serene and Scenic Hills (Paul Craig</w:t>
      </w:r>
      <w:r w:rsidR="00452936">
        <w:t>, Joan Arbuckle, Yvette Reyna, Robert Bernsen, and Betsy Omeis)</w:t>
      </w:r>
      <w:r w:rsidR="001968C8">
        <w:t xml:space="preserve">, it is clear that these homes on small pieces of property would be significantly negatively impacted by the transmission line because a large percentage of their small lots along </w:t>
      </w:r>
      <w:r w:rsidR="00255952">
        <w:t>Toutant Beauregard</w:t>
      </w:r>
      <w:r w:rsidR="001968C8">
        <w:t xml:space="preserve"> would be taken to route the line.</w:t>
      </w:r>
    </w:p>
    <w:p w14:paraId="716C9334" w14:textId="3092E071" w:rsidR="009A254B" w:rsidRDefault="009A254B" w:rsidP="009A254B">
      <w:pPr>
        <w:jc w:val="both"/>
      </w:pPr>
      <w:r>
        <w:tab/>
        <w:t xml:space="preserve">Bexar Ranch argues that comparing Route W to Route Z1 shows that more </w:t>
      </w:r>
      <w:r w:rsidR="00437B83">
        <w:t>habitable</w:t>
      </w:r>
      <w:r>
        <w:t xml:space="preserve"> structures on </w:t>
      </w:r>
      <w:proofErr w:type="spellStart"/>
      <w:r>
        <w:t>W are</w:t>
      </w:r>
      <w:proofErr w:type="spellEnd"/>
      <w:r>
        <w:t xml:space="preserve"> on the same side of the road as the transmission line compared to those on Route Z1.  This argument is a red herring for a number of reasons.  </w:t>
      </w:r>
      <w:r w:rsidR="00831BBE">
        <w:t xml:space="preserve">First, the </w:t>
      </w:r>
      <w:r w:rsidR="00437B83">
        <w:t>Commission’s</w:t>
      </w:r>
      <w:r w:rsidR="00831BBE">
        <w:t xml:space="preserve"> rules count habitable structures by the number of them </w:t>
      </w:r>
      <w:r w:rsidR="00A21C1B">
        <w:t>within 300 feet of the line, not the number on the same versus opposite side of the road.  Additionally, CPS Energy has made it crystal clear that the line has not been designed and that places on the map where a transmission structure appears on one side of the road may actually end up on the other side.</w:t>
      </w:r>
      <w:r w:rsidR="00F868A6">
        <w:rPr>
          <w:rStyle w:val="FootnoteReference"/>
        </w:rPr>
        <w:footnoteReference w:id="23"/>
      </w:r>
      <w:r w:rsidR="00284AE8">
        <w:t xml:space="preserve">  Because CPS Energy has not provided </w:t>
      </w:r>
      <w:r w:rsidR="00BB38E0">
        <w:t>enough information to even determine which side of the road the structures (and therefore the line) will be, Bexar Ranch’s attempt to count how many structures are on which side of the road should be disregarded or given little weight.</w:t>
      </w:r>
    </w:p>
    <w:p w14:paraId="0DB91B08" w14:textId="28BBFAA6" w:rsidR="000E17DD" w:rsidRDefault="000E17DD" w:rsidP="009A254B">
      <w:pPr>
        <w:jc w:val="both"/>
      </w:pPr>
      <w:r>
        <w:lastRenderedPageBreak/>
        <w:tab/>
        <w:t>Several parties discuss the number of habitable structures within 100 feet of various rou</w:t>
      </w:r>
      <w:r w:rsidR="00E5173A">
        <w:t>tes.</w:t>
      </w:r>
      <w:r w:rsidR="00E5173A">
        <w:rPr>
          <w:rStyle w:val="FootnoteReference"/>
        </w:rPr>
        <w:footnoteReference w:id="24"/>
      </w:r>
      <w:r w:rsidR="009622EC">
        <w:t xml:space="preserve">  Segment 54 has an existing home less than 100 feet from the centerline.</w:t>
      </w:r>
      <w:r w:rsidR="00C757BF">
        <w:rPr>
          <w:rStyle w:val="FootnoteReference"/>
        </w:rPr>
        <w:footnoteReference w:id="25"/>
      </w:r>
      <w:r w:rsidR="00C757BF">
        <w:t xml:space="preserve">  That home is in Scenic Hills and was in existence long before the application was filed. </w:t>
      </w:r>
      <w:r w:rsidR="00255952">
        <w:t xml:space="preserve"> </w:t>
      </w:r>
      <w:r w:rsidR="00C757BF">
        <w:t xml:space="preserve">Segment 26a has one home less than 100 feet from its </w:t>
      </w:r>
      <w:r w:rsidR="006607E2">
        <w:t>centerline</w:t>
      </w:r>
      <w:r w:rsidR="00C757BF">
        <w:t>.  That home is listed as habitable structure number 198.</w:t>
      </w:r>
      <w:r w:rsidR="00201C21">
        <w:t xml:space="preserve">  It was built in The Canyons subdivision</w:t>
      </w:r>
      <w:r w:rsidR="006F329F">
        <w:t xml:space="preserve"> </w:t>
      </w:r>
      <w:r w:rsidR="00201C21" w:rsidRPr="002D7B14">
        <w:rPr>
          <w:b/>
          <w:bCs/>
          <w:u w:val="single"/>
        </w:rPr>
        <w:t>after</w:t>
      </w:r>
      <w:r w:rsidR="00201C21">
        <w:t xml:space="preserve"> the open house in this case, and it was built directly under the proposed Segment 26.</w:t>
      </w:r>
      <w:r w:rsidR="00F1144F">
        <w:t xml:space="preserve"> </w:t>
      </w:r>
      <w:r w:rsidR="00255952">
        <w:t xml:space="preserve"> </w:t>
      </w:r>
      <w:r w:rsidR="006F329F">
        <w:t>The homeowner who built that home received direct mail notice of the Application and thus likely also received notice of the open house.</w:t>
      </w:r>
      <w:r w:rsidR="00476FA0">
        <w:rPr>
          <w:rStyle w:val="FootnoteReference"/>
        </w:rPr>
        <w:footnoteReference w:id="26"/>
      </w:r>
      <w:r w:rsidR="00F1144F">
        <w:t xml:space="preserve"> </w:t>
      </w:r>
      <w:r w:rsidR="00255952">
        <w:t xml:space="preserve"> </w:t>
      </w:r>
      <w:r w:rsidR="00F1144F">
        <w:t>The construction of the home resulted in the movement of Segme</w:t>
      </w:r>
      <w:r w:rsidR="00671EE7">
        <w:t>nt</w:t>
      </w:r>
      <w:r w:rsidR="00F1144F">
        <w:t xml:space="preserve"> 26 onto other landowners</w:t>
      </w:r>
      <w:r w:rsidR="00467B1E">
        <w:t xml:space="preserve"> and its renaming to 26a.</w:t>
      </w:r>
      <w:r w:rsidR="00FA558C">
        <w:t xml:space="preserve">  The </w:t>
      </w:r>
      <w:proofErr w:type="spellStart"/>
      <w:r w:rsidR="00FA558C">
        <w:t>ALJs</w:t>
      </w:r>
      <w:proofErr w:type="spellEnd"/>
      <w:r w:rsidR="00FA558C">
        <w:t xml:space="preserve"> should not weigh the home that was constructed directly under a proposed </w:t>
      </w:r>
      <w:r w:rsidR="009E7962">
        <w:t>segment</w:t>
      </w:r>
      <w:r w:rsidR="00FA558C">
        <w:t xml:space="preserve"> with full knowledge of the </w:t>
      </w:r>
      <w:proofErr w:type="spellStart"/>
      <w:r w:rsidR="00FA558C">
        <w:t>CCN</w:t>
      </w:r>
      <w:proofErr w:type="spellEnd"/>
      <w:r w:rsidR="00FA558C">
        <w:t xml:space="preserve"> proceeding equally with the homes in existence</w:t>
      </w:r>
      <w:r w:rsidR="00B51134">
        <w:t xml:space="preserve"> before the open house</w:t>
      </w:r>
      <w:r w:rsidR="00FA558C">
        <w:t xml:space="preserve">.  Doing so would create an incentive for </w:t>
      </w:r>
      <w:r w:rsidR="009E7962">
        <w:t>individuals</w:t>
      </w:r>
      <w:r w:rsidR="00FA558C">
        <w:t xml:space="preserve"> upon learning of a transmission line project to </w:t>
      </w:r>
      <w:r w:rsidR="007409C5">
        <w:t>immediately construct homes under the path of the line</w:t>
      </w:r>
      <w:r w:rsidR="00FA558C">
        <w:t>.</w:t>
      </w:r>
      <w:r w:rsidR="00F27CD2">
        <w:t xml:space="preserve">  Habitable structure number 204 is located on Segmen</w:t>
      </w:r>
      <w:r w:rsidR="008D634F">
        <w:t xml:space="preserve">t 15.  </w:t>
      </w:r>
      <w:r w:rsidR="00BC4054">
        <w:t>It is a workshop and</w:t>
      </w:r>
      <w:r w:rsidR="00560578">
        <w:t>,</w:t>
      </w:r>
      <w:r w:rsidR="00BC4054">
        <w:t xml:space="preserve"> </w:t>
      </w:r>
      <w:r w:rsidR="00222058">
        <w:t xml:space="preserve">while CPS Energy has classified it as a </w:t>
      </w:r>
      <w:r w:rsidR="009E7962">
        <w:t>habitable</w:t>
      </w:r>
      <w:r w:rsidR="00222058">
        <w:t xml:space="preserve"> structure, it is </w:t>
      </w:r>
      <w:r w:rsidR="00BC4054">
        <w:t>not a home.</w:t>
      </w:r>
      <w:r w:rsidR="009A68B5">
        <w:t xml:space="preserve">  Therefore, the number of homes in existence at the time of the application and within 100 feet of any of the proposed </w:t>
      </w:r>
      <w:r w:rsidR="009E7962">
        <w:t>segments</w:t>
      </w:r>
      <w:r w:rsidR="009A68B5">
        <w:t xml:space="preserve"> is one</w:t>
      </w:r>
      <w:r w:rsidR="00143548">
        <w:t xml:space="preserve">, and it is on </w:t>
      </w:r>
      <w:r w:rsidR="00255952">
        <w:t xml:space="preserve">Toutant </w:t>
      </w:r>
      <w:r w:rsidR="00143548">
        <w:t>Beauregard</w:t>
      </w:r>
      <w:r w:rsidR="009A68B5">
        <w:t xml:space="preserve">.  </w:t>
      </w:r>
    </w:p>
    <w:p w14:paraId="4944059F" w14:textId="79E2A4CE" w:rsidR="00340A2C" w:rsidRDefault="00340A2C" w:rsidP="009A254B">
      <w:pPr>
        <w:jc w:val="both"/>
      </w:pPr>
      <w:r>
        <w:tab/>
        <w:t xml:space="preserve">As discussed above, the lots in Clearwater Ranch and along Huntress Lane are large.  Thus, each landowner would have the ability to use more of their property than the landowners on </w:t>
      </w:r>
      <w:r w:rsidR="00255952">
        <w:t>Toutant Beauregard</w:t>
      </w:r>
      <w:r>
        <w:t>.   Seventy-five to 100 feet of right-of-way on a small one</w:t>
      </w:r>
      <w:r w:rsidR="00CC0747">
        <w:t>-</w:t>
      </w:r>
      <w:r>
        <w:t xml:space="preserve">acre property has a </w:t>
      </w:r>
      <w:r>
        <w:lastRenderedPageBreak/>
        <w:t>much larger impact than a similar amount of right-of-way on a 10-15 acre property</w:t>
      </w:r>
      <w:r w:rsidR="00087E65">
        <w:t>, or 3,200</w:t>
      </w:r>
      <w:r w:rsidR="005756D2">
        <w:t xml:space="preserve"> acres</w:t>
      </w:r>
      <w:r w:rsidR="00087E65">
        <w:t xml:space="preserve"> for that matter</w:t>
      </w:r>
      <w:r>
        <w:t>.</w:t>
      </w:r>
    </w:p>
    <w:p w14:paraId="1A385294" w14:textId="4E8B6AE0" w:rsidR="00863E6D" w:rsidRPr="00381D71" w:rsidRDefault="00B760EA" w:rsidP="009A254B">
      <w:pPr>
        <w:jc w:val="both"/>
      </w:pPr>
      <w:r>
        <w:tab/>
      </w:r>
      <w:proofErr w:type="spellStart"/>
      <w:r>
        <w:t>SHLAA</w:t>
      </w:r>
      <w:proofErr w:type="spellEnd"/>
      <w:r>
        <w:t xml:space="preserve"> argues that the </w:t>
      </w:r>
      <w:r w:rsidR="00255952">
        <w:t>Toutant Beauregard</w:t>
      </w:r>
      <w:r>
        <w:t xml:space="preserve"> routes are acceptable from the perspective of prudent avoidance because, among other reasons, the number of habitable structures along Z1 is lower than the average of all the routes. To be clear, the average number of habitable structures is not a routing criterion.  To the </w:t>
      </w:r>
      <w:r w:rsidR="00863E6D">
        <w:t xml:space="preserve">contrary, the actual number is the criterion looked at.  And in this case, the routes with the lowest numbers of </w:t>
      </w:r>
      <w:r w:rsidR="000125F2">
        <w:t>habitable</w:t>
      </w:r>
      <w:r w:rsidR="00863E6D">
        <w:t xml:space="preserve"> structures are </w:t>
      </w:r>
      <w:r w:rsidR="00863E6D" w:rsidRPr="00EE2FCC">
        <w:rPr>
          <w:b/>
          <w:bCs/>
          <w:i/>
          <w:iCs/>
        </w:rPr>
        <w:t>not</w:t>
      </w:r>
      <w:r w:rsidR="00863E6D">
        <w:t xml:space="preserve"> on </w:t>
      </w:r>
      <w:r w:rsidR="00255952">
        <w:t>Toutant Beauregard</w:t>
      </w:r>
      <w:r w:rsidR="00863E6D">
        <w:t xml:space="preserve">.  </w:t>
      </w:r>
      <w:r w:rsidR="00695337">
        <w:t xml:space="preserve"> </w:t>
      </w:r>
    </w:p>
    <w:p w14:paraId="01DD403F" w14:textId="0E7CAEC3" w:rsidR="00EE5347" w:rsidRDefault="00416BD7" w:rsidP="009E5BEB">
      <w:pPr>
        <w:pStyle w:val="CROutline1"/>
        <w:ind w:left="720"/>
      </w:pPr>
      <w:bookmarkStart w:id="16" w:name="_Toc73025959"/>
      <w:r w:rsidRPr="00A6483A">
        <w:t>PRELIMINARY ORDER</w:t>
      </w:r>
      <w:r w:rsidR="00EE5347">
        <w:t xml:space="preserve"> ISSUE NO. 5</w:t>
      </w:r>
      <w:r w:rsidR="00EE5347" w:rsidRPr="00EE5347">
        <w:t xml:space="preserve"> </w:t>
      </w:r>
      <w:r w:rsidR="00EE5347" w:rsidRPr="00A646FE">
        <w:t>Are there alternative routes or facilities configurations that would have a less negative impact on landowners? What would be the incremental cost of those routes?</w:t>
      </w:r>
      <w:bookmarkEnd w:id="16"/>
    </w:p>
    <w:p w14:paraId="60493785" w14:textId="410CF7CF" w:rsidR="00C011EE" w:rsidRDefault="001A1F7C" w:rsidP="004C5514">
      <w:pPr>
        <w:ind w:firstLine="720"/>
        <w:jc w:val="both"/>
      </w:pPr>
      <w:r>
        <w:t>The parties advocating for Route Z</w:t>
      </w:r>
      <w:r w:rsidR="00CE16E0">
        <w:t>1</w:t>
      </w:r>
      <w:r>
        <w:t xml:space="preserve"> or other routes on </w:t>
      </w:r>
      <w:r w:rsidR="00255952">
        <w:t>Toutant Beauregard</w:t>
      </w:r>
      <w:r>
        <w:t xml:space="preserve"> </w:t>
      </w:r>
      <w:r w:rsidR="004C5514">
        <w:t xml:space="preserve">argue that the </w:t>
      </w:r>
      <w:proofErr w:type="spellStart"/>
      <w:r w:rsidR="004C5514">
        <w:t>ALJs</w:t>
      </w:r>
      <w:proofErr w:type="spellEnd"/>
      <w:r w:rsidR="00DC7947">
        <w:t xml:space="preserve"> </w:t>
      </w:r>
      <w:r w:rsidR="004C5514">
        <w:t xml:space="preserve">and the Commission should weigh the agreement between </w:t>
      </w:r>
      <w:r w:rsidR="00255952">
        <w:t xml:space="preserve">Toutant </w:t>
      </w:r>
      <w:r w:rsidR="004C5514">
        <w:t xml:space="preserve">Ranch </w:t>
      </w:r>
      <w:r w:rsidR="00F82023">
        <w:t>Ltd.</w:t>
      </w:r>
      <w:r w:rsidR="004C5514">
        <w:t xml:space="preserve"> and CPS Energy heavily in favor of selecting a route that utilizes the donated and discounted segme</w:t>
      </w:r>
      <w:r w:rsidR="0042599B">
        <w:t>nt</w:t>
      </w:r>
      <w:r w:rsidR="004C5514">
        <w:t>s.</w:t>
      </w:r>
      <w:r w:rsidR="004C5514">
        <w:rPr>
          <w:rStyle w:val="FootnoteReference"/>
        </w:rPr>
        <w:footnoteReference w:id="27"/>
      </w:r>
      <w:r w:rsidR="004C5514">
        <w:t xml:space="preserve">  </w:t>
      </w:r>
      <w:r w:rsidR="00AD3BEB">
        <w:t xml:space="preserve">Anaqua Springs </w:t>
      </w:r>
      <w:r w:rsidR="002758FC">
        <w:t xml:space="preserve">HOA </w:t>
      </w:r>
      <w:r w:rsidR="00AD3BEB">
        <w:t xml:space="preserve">strongly disagrees. </w:t>
      </w:r>
      <w:r w:rsidR="003E548E">
        <w:t>These</w:t>
      </w:r>
      <w:r w:rsidR="000274CD">
        <w:t xml:space="preserve"> parties </w:t>
      </w:r>
      <w:r w:rsidR="0035394E">
        <w:t xml:space="preserve">imply </w:t>
      </w:r>
      <w:r w:rsidR="000274CD">
        <w:t xml:space="preserve">that the agreement is evidence of landowner consent.  </w:t>
      </w:r>
      <w:r w:rsidR="00AD3BEB">
        <w:t>Mr. Dreiss stated at the hearing that he does not want the lines on his property.</w:t>
      </w:r>
      <w:r w:rsidR="00AD3BEB">
        <w:rPr>
          <w:rStyle w:val="FootnoteReference"/>
        </w:rPr>
        <w:footnoteReference w:id="28"/>
      </w:r>
      <w:r w:rsidR="00AD3BEB">
        <w:t xml:space="preserve"> </w:t>
      </w:r>
      <w:r w:rsidR="000274CD">
        <w:t xml:space="preserve"> He negotiated with CPS Energy at great cost to his business to save his business from potential ruin.</w:t>
      </w:r>
      <w:r w:rsidR="00500181">
        <w:rPr>
          <w:rStyle w:val="FootnoteReference"/>
        </w:rPr>
        <w:footnoteReference w:id="29"/>
      </w:r>
      <w:r w:rsidR="00131806">
        <w:t xml:space="preserve">  And it would be better for his developments if the transmission line avoided </w:t>
      </w:r>
      <w:r w:rsidR="008C4CC0">
        <w:t>the properties entirely.</w:t>
      </w:r>
      <w:r w:rsidR="001672A8">
        <w:rPr>
          <w:rStyle w:val="FootnoteReference"/>
        </w:rPr>
        <w:footnoteReference w:id="30"/>
      </w:r>
      <w:r w:rsidR="000274CD">
        <w:t xml:space="preserve">  </w:t>
      </w:r>
      <w:r w:rsidR="00E1362F">
        <w:t xml:space="preserve">Not wanting the lines and having to negotiate away significant rights (ability to argue against routing, ability to pursue condemnation, </w:t>
      </w:r>
      <w:r w:rsidR="003073CC">
        <w:t>ability</w:t>
      </w:r>
      <w:r w:rsidR="00E1362F">
        <w:t xml:space="preserve"> to obtain remainder damages) shows that Mr. Dreiss was in an impossible position and took the better alternative of two bad deals. </w:t>
      </w:r>
      <w:r w:rsidR="000B12D9">
        <w:t xml:space="preserve"> This is not the case of a landowner </w:t>
      </w:r>
      <w:r w:rsidR="00414AD0">
        <w:t>requesting th</w:t>
      </w:r>
      <w:r w:rsidR="000B12D9">
        <w:t>e transmission line on their property</w:t>
      </w:r>
      <w:r w:rsidR="005756D2">
        <w:t xml:space="preserve"> so </w:t>
      </w:r>
      <w:r w:rsidR="005756D2">
        <w:lastRenderedPageBreak/>
        <w:t>long as they receive just compensation, like some parties have do</w:t>
      </w:r>
      <w:r w:rsidR="005E4E5C">
        <w:t>ne</w:t>
      </w:r>
      <w:r w:rsidR="000B12D9">
        <w:t>.</w:t>
      </w:r>
      <w:r w:rsidR="00FD413A">
        <w:rPr>
          <w:rStyle w:val="FootnoteReference"/>
        </w:rPr>
        <w:footnoteReference w:id="31"/>
      </w:r>
      <w:r w:rsidR="00AD19B7">
        <w:t xml:space="preserve">  The obvious impact to </w:t>
      </w:r>
      <w:r w:rsidR="00255952">
        <w:t xml:space="preserve">Toutant </w:t>
      </w:r>
      <w:r w:rsidR="00AD19B7">
        <w:t xml:space="preserve">Ranch </w:t>
      </w:r>
      <w:r w:rsidR="00F82023">
        <w:t>Ltd.</w:t>
      </w:r>
      <w:r w:rsidR="00AD19B7">
        <w:t xml:space="preserve">’s property should not be ignored or discounted simply because to </w:t>
      </w:r>
      <w:r w:rsidR="00255952">
        <w:t xml:space="preserve">Toutant </w:t>
      </w:r>
      <w:r w:rsidR="00AD19B7">
        <w:t xml:space="preserve">Ranch </w:t>
      </w:r>
      <w:r w:rsidR="00F82023">
        <w:t>Ltd.</w:t>
      </w:r>
      <w:r w:rsidR="00AD19B7">
        <w:t xml:space="preserve"> agreed to forego large sums of money to protect the core of its business.</w:t>
      </w:r>
    </w:p>
    <w:p w14:paraId="57B935AE" w14:textId="0359E077" w:rsidR="001B6C47" w:rsidRDefault="001B6C47" w:rsidP="004C5514">
      <w:pPr>
        <w:ind w:firstLine="720"/>
        <w:jc w:val="both"/>
      </w:pPr>
      <w:r>
        <w:t xml:space="preserve">To be clear, the agreement does not require </w:t>
      </w:r>
      <w:r w:rsidR="00255952">
        <w:t xml:space="preserve">Toutant </w:t>
      </w:r>
      <w:r>
        <w:t xml:space="preserve">Ranch </w:t>
      </w:r>
      <w:r w:rsidR="00F82023">
        <w:t>Ltd.</w:t>
      </w:r>
      <w:r>
        <w:t xml:space="preserve"> to</w:t>
      </w:r>
      <w:r w:rsidR="00713F06">
        <w:t xml:space="preserve"> merely</w:t>
      </w:r>
      <w:r>
        <w:t xml:space="preserve"> act unopposed or disinterested about the lines on its land.  To the contrary, it requires </w:t>
      </w:r>
      <w:r w:rsidR="00255952">
        <w:t xml:space="preserve">Toutant </w:t>
      </w:r>
      <w:r>
        <w:t xml:space="preserve">Ranch </w:t>
      </w:r>
      <w:r w:rsidR="00F82023">
        <w:t>Ltd.</w:t>
      </w:r>
      <w:r>
        <w:t xml:space="preserve"> to support the segments</w:t>
      </w:r>
      <w:r w:rsidR="002C07FE">
        <w:t xml:space="preserve"> over its properties</w:t>
      </w:r>
      <w:r>
        <w:t xml:space="preserve">.  </w:t>
      </w:r>
      <w:r w:rsidR="00255952">
        <w:t xml:space="preserve">Toutant </w:t>
      </w:r>
      <w:r w:rsidR="00130B52">
        <w:t xml:space="preserve">Ranch </w:t>
      </w:r>
      <w:r w:rsidR="00F82023">
        <w:t>Ltd.</w:t>
      </w:r>
      <w:r w:rsidR="00130B52">
        <w:t xml:space="preserve"> could not provide any testimony about the negative impact of any of the routes. </w:t>
      </w:r>
      <w:r w:rsidR="00255952">
        <w:t xml:space="preserve"> </w:t>
      </w:r>
      <w:r>
        <w:t>The ramifications of this agreement are severe.</w:t>
      </w:r>
      <w:r w:rsidR="00130B52" w:rsidRPr="00130B52">
        <w:t xml:space="preserve"> </w:t>
      </w:r>
      <w:r w:rsidR="00255952">
        <w:t xml:space="preserve"> </w:t>
      </w:r>
      <w:r w:rsidR="00130B52">
        <w:t xml:space="preserve">It impedes the process, is contrary to public policy, and should not have been enforceable under those terms.  </w:t>
      </w:r>
      <w:r w:rsidR="00D93ADC">
        <w:t xml:space="preserve">A utility, and particularly a governmental entity, should not be </w:t>
      </w:r>
      <w:r w:rsidR="002E6610">
        <w:t>encouraged</w:t>
      </w:r>
      <w:r w:rsidR="00D93ADC">
        <w:t xml:space="preserve"> to strong-arm landowners to take a particular position in a case after the landowner has contributed financially by donating right of way.  This type of agreement puts other similarly</w:t>
      </w:r>
      <w:r w:rsidR="002C47CE">
        <w:t xml:space="preserve"> </w:t>
      </w:r>
      <w:r w:rsidR="00D93ADC">
        <w:t xml:space="preserve">situated </w:t>
      </w:r>
      <w:r w:rsidR="002E6610">
        <w:t>landowners</w:t>
      </w:r>
      <w:r w:rsidR="00D93ADC">
        <w:t xml:space="preserve"> at a </w:t>
      </w:r>
      <w:r w:rsidR="002E6610">
        <w:t>disadvantage</w:t>
      </w:r>
      <w:r w:rsidR="00D93ADC">
        <w:t xml:space="preserve"> because they are then not only challenging the utility’s routing but also the coerced support of other landowners.  Additionally, CPS Energy used this agreement to limit </w:t>
      </w:r>
      <w:r w:rsidR="00255952">
        <w:t xml:space="preserve">Toutant </w:t>
      </w:r>
      <w:r w:rsidR="00F82023">
        <w:t>Ltd.’</w:t>
      </w:r>
      <w:r w:rsidR="00D93ADC">
        <w:t>s participation.</w:t>
      </w:r>
      <w:r w:rsidR="00713830">
        <w:t xml:space="preserve">  </w:t>
      </w:r>
      <w:r w:rsidR="007611F2">
        <w:t xml:space="preserve">No party should be limited in its full participation in a hearing.  This agreement silences one affected party and forces them to accept the lesser of two evils in exchange for giving up </w:t>
      </w:r>
      <w:r w:rsidR="00515CD8">
        <w:t>its</w:t>
      </w:r>
      <w:r w:rsidR="007611F2">
        <w:t xml:space="preserve"> right to participate and be compensated in the event a route is chosen over its property.</w:t>
      </w:r>
    </w:p>
    <w:p w14:paraId="4A6C861B" w14:textId="6AB8E423" w:rsidR="003A5E85" w:rsidRPr="00C011EE" w:rsidRDefault="003A5E85" w:rsidP="000D7901">
      <w:pPr>
        <w:jc w:val="both"/>
      </w:pPr>
      <w:r>
        <w:tab/>
        <w:t>CPS</w:t>
      </w:r>
      <w:r w:rsidR="001E28BF">
        <w:t xml:space="preserve"> Energy also </w:t>
      </w:r>
      <w:r w:rsidR="003073CC">
        <w:t>asserts</w:t>
      </w:r>
      <w:r w:rsidR="001E28BF">
        <w:t xml:space="preserve"> in its brief that the </w:t>
      </w:r>
      <w:proofErr w:type="spellStart"/>
      <w:r w:rsidR="001E28BF">
        <w:t>ALJs</w:t>
      </w:r>
      <w:proofErr w:type="spellEnd"/>
      <w:r>
        <w:t xml:space="preserve"> ordered changes </w:t>
      </w:r>
      <w:r w:rsidR="001E28BF">
        <w:t xml:space="preserve">to the lines on </w:t>
      </w:r>
      <w:r w:rsidR="00255952">
        <w:t xml:space="preserve">Toutant </w:t>
      </w:r>
      <w:r w:rsidR="001B6D03">
        <w:t xml:space="preserve">Ranch </w:t>
      </w:r>
      <w:r w:rsidR="00F82023">
        <w:t>Ltd.</w:t>
      </w:r>
      <w:r w:rsidR="001B6D03">
        <w:t xml:space="preserve">’s </w:t>
      </w:r>
      <w:r w:rsidR="001E28BF">
        <w:t xml:space="preserve">property as a </w:t>
      </w:r>
      <w:r w:rsidR="003073CC">
        <w:t>result</w:t>
      </w:r>
      <w:r w:rsidR="001E28BF">
        <w:t xml:space="preserve"> of the route adequacy hearing.</w:t>
      </w:r>
      <w:r w:rsidR="000D7901">
        <w:rPr>
          <w:rStyle w:val="FootnoteReference"/>
        </w:rPr>
        <w:footnoteReference w:id="32"/>
      </w:r>
      <w:r w:rsidR="00933878">
        <w:t xml:space="preserve">  CPS Energy only tells a portion of that story. </w:t>
      </w:r>
      <w:r w:rsidR="001B6D03">
        <w:t xml:space="preserve"> As part of their agreement</w:t>
      </w:r>
      <w:r w:rsidR="007E02A6">
        <w:t>,</w:t>
      </w:r>
      <w:r w:rsidR="001B6D03">
        <w:t xml:space="preserve"> CPS</w:t>
      </w:r>
      <w:r w:rsidR="00933878">
        <w:t xml:space="preserve"> required Mr. Dreiss to file a route adequacy motion</w:t>
      </w:r>
      <w:r w:rsidR="000D5835">
        <w:t xml:space="preserve"> </w:t>
      </w:r>
      <w:r w:rsidR="000D5835">
        <w:lastRenderedPageBreak/>
        <w:t>that CPS Energy would not oppose.</w:t>
      </w:r>
      <w:r w:rsidR="001367C3">
        <w:rPr>
          <w:rStyle w:val="FootnoteReference"/>
        </w:rPr>
        <w:footnoteReference w:id="33"/>
      </w:r>
      <w:r w:rsidR="00650C4D">
        <w:t xml:space="preserve">  In other words, CPS Energy could have agreed to landowner requested modifications with some cost offset as provided in the rules, but instead required Mr.</w:t>
      </w:r>
      <w:r w:rsidR="00255952">
        <w:t> </w:t>
      </w:r>
      <w:r w:rsidR="00650C4D">
        <w:t xml:space="preserve">Dreiss at additional expense to file a route adequacy motion, presumably to give CPS Energy some cover so they could argue that the </w:t>
      </w:r>
      <w:proofErr w:type="spellStart"/>
      <w:r w:rsidR="00650C4D">
        <w:t>ALJs</w:t>
      </w:r>
      <w:proofErr w:type="spellEnd"/>
      <w:r w:rsidR="00650C4D">
        <w:t xml:space="preserve"> ordered the change.  The reality is, however, that CPS Energy and Mr. Dreiss could have negotiated the agreement on their own.</w:t>
      </w:r>
      <w:r w:rsidR="003E548E">
        <w:t xml:space="preserve">  </w:t>
      </w:r>
    </w:p>
    <w:p w14:paraId="74B5B516" w14:textId="4E93D1D2" w:rsidR="00416BD7" w:rsidRPr="001B7E60" w:rsidRDefault="00416BD7" w:rsidP="009E5BEB">
      <w:pPr>
        <w:pStyle w:val="CROutline1"/>
        <w:ind w:left="720"/>
      </w:pPr>
      <w:bookmarkStart w:id="17" w:name="_Toc73025960"/>
      <w:r w:rsidRPr="001B7E60">
        <w:t>CONCLUSION</w:t>
      </w:r>
      <w:bookmarkEnd w:id="17"/>
    </w:p>
    <w:p w14:paraId="741BCDD6" w14:textId="3E7DACC2" w:rsidR="00703995" w:rsidRDefault="00E653AC" w:rsidP="00703995">
      <w:pPr>
        <w:ind w:firstLine="720"/>
        <w:jc w:val="both"/>
        <w:rPr>
          <w:rFonts w:cs="Times New Roman"/>
          <w:szCs w:val="24"/>
        </w:rPr>
      </w:pPr>
      <w:r>
        <w:rPr>
          <w:rFonts w:cs="Times New Roman"/>
          <w:szCs w:val="24"/>
        </w:rPr>
        <w:t xml:space="preserve">In conclusion, routes along </w:t>
      </w:r>
      <w:r w:rsidR="00255952">
        <w:rPr>
          <w:rFonts w:cs="Times New Roman"/>
          <w:szCs w:val="24"/>
        </w:rPr>
        <w:t>Toutant Beauregard</w:t>
      </w:r>
      <w:r>
        <w:rPr>
          <w:rFonts w:cs="Times New Roman"/>
          <w:szCs w:val="24"/>
        </w:rPr>
        <w:t xml:space="preserve"> should not be selected to route this transmission line.  The routes along </w:t>
      </w:r>
      <w:r w:rsidR="00255952">
        <w:rPr>
          <w:rFonts w:cs="Times New Roman"/>
          <w:szCs w:val="24"/>
        </w:rPr>
        <w:t>Toutant Beauregard</w:t>
      </w:r>
      <w:r>
        <w:rPr>
          <w:rFonts w:cs="Times New Roman"/>
          <w:szCs w:val="24"/>
        </w:rPr>
        <w:t xml:space="preserve"> are poor choices for the following reasons:</w:t>
      </w:r>
    </w:p>
    <w:p w14:paraId="6F116699" w14:textId="02374DEA" w:rsidR="00E653AC" w:rsidRDefault="00E653AC" w:rsidP="00E653AC">
      <w:pPr>
        <w:pStyle w:val="ListParagraph"/>
        <w:numPr>
          <w:ilvl w:val="0"/>
          <w:numId w:val="20"/>
        </w:numPr>
        <w:jc w:val="both"/>
        <w:rPr>
          <w:rFonts w:cs="Times New Roman"/>
          <w:szCs w:val="24"/>
        </w:rPr>
      </w:pPr>
      <w:r>
        <w:rPr>
          <w:rFonts w:cs="Times New Roman"/>
          <w:szCs w:val="24"/>
        </w:rPr>
        <w:t>The habitable structure count is too high.</w:t>
      </w:r>
    </w:p>
    <w:p w14:paraId="1EB4AD9A" w14:textId="287D2F33" w:rsidR="00E653AC" w:rsidRDefault="00E653AC" w:rsidP="00E653AC">
      <w:pPr>
        <w:pStyle w:val="ListParagraph"/>
        <w:numPr>
          <w:ilvl w:val="0"/>
          <w:numId w:val="20"/>
        </w:numPr>
        <w:jc w:val="both"/>
        <w:rPr>
          <w:rFonts w:cs="Times New Roman"/>
          <w:szCs w:val="24"/>
        </w:rPr>
      </w:pPr>
      <w:r>
        <w:rPr>
          <w:rFonts w:cs="Times New Roman"/>
          <w:szCs w:val="24"/>
        </w:rPr>
        <w:t>There are too many unknowns about routing along the constrained right-of-way along Segment 54 where CPS Energy does not at this point even know which side of the road the line will need to run.</w:t>
      </w:r>
    </w:p>
    <w:p w14:paraId="6588884C" w14:textId="12FF212D" w:rsidR="004A3AEB" w:rsidRDefault="004A3AEB" w:rsidP="00E653AC">
      <w:pPr>
        <w:pStyle w:val="ListParagraph"/>
        <w:numPr>
          <w:ilvl w:val="0"/>
          <w:numId w:val="20"/>
        </w:numPr>
        <w:jc w:val="both"/>
        <w:rPr>
          <w:rFonts w:cs="Times New Roman"/>
          <w:szCs w:val="24"/>
        </w:rPr>
      </w:pPr>
      <w:r>
        <w:rPr>
          <w:rFonts w:cs="Times New Roman"/>
          <w:szCs w:val="24"/>
        </w:rPr>
        <w:t xml:space="preserve">Segment 54 has more habitable </w:t>
      </w:r>
      <w:r w:rsidR="001909E2">
        <w:rPr>
          <w:rFonts w:cs="Times New Roman"/>
          <w:szCs w:val="24"/>
        </w:rPr>
        <w:t>structures</w:t>
      </w:r>
      <w:r>
        <w:rPr>
          <w:rFonts w:cs="Times New Roman"/>
          <w:szCs w:val="24"/>
        </w:rPr>
        <w:t xml:space="preserve"> on that one segment alone than do many of the other routes in their entirety.</w:t>
      </w:r>
    </w:p>
    <w:p w14:paraId="70F74617" w14:textId="2D6E9A55" w:rsidR="00E653AC" w:rsidRDefault="00E653AC" w:rsidP="00E653AC">
      <w:pPr>
        <w:pStyle w:val="ListParagraph"/>
        <w:numPr>
          <w:ilvl w:val="0"/>
          <w:numId w:val="20"/>
        </w:numPr>
        <w:jc w:val="both"/>
        <w:rPr>
          <w:rFonts w:cs="Times New Roman"/>
          <w:szCs w:val="24"/>
        </w:rPr>
      </w:pPr>
      <w:r>
        <w:rPr>
          <w:rFonts w:cs="Times New Roman"/>
          <w:szCs w:val="24"/>
        </w:rPr>
        <w:t xml:space="preserve">There is no room to widen Segment 54 </w:t>
      </w:r>
      <w:r w:rsidR="00784C09">
        <w:rPr>
          <w:rFonts w:cs="Times New Roman"/>
          <w:szCs w:val="24"/>
        </w:rPr>
        <w:t>if additional lanes are needed as the community grows from new development and a new middle school.</w:t>
      </w:r>
    </w:p>
    <w:p w14:paraId="07238054" w14:textId="64133229" w:rsidR="00784C09" w:rsidRDefault="00784C09" w:rsidP="00E653AC">
      <w:pPr>
        <w:pStyle w:val="ListParagraph"/>
        <w:numPr>
          <w:ilvl w:val="0"/>
          <w:numId w:val="20"/>
        </w:numPr>
        <w:jc w:val="both"/>
        <w:rPr>
          <w:rFonts w:cs="Times New Roman"/>
          <w:szCs w:val="24"/>
        </w:rPr>
      </w:pPr>
      <w:r>
        <w:rPr>
          <w:rFonts w:cs="Times New Roman"/>
          <w:szCs w:val="24"/>
        </w:rPr>
        <w:t>In the event of a failure of the transmission line into the road, there is no other way for emergency services vehicles to access the subdivisions other than to come from Boerne.</w:t>
      </w:r>
    </w:p>
    <w:p w14:paraId="4F7848A7" w14:textId="5CD7B131" w:rsidR="00784C09" w:rsidRDefault="00784C09" w:rsidP="00E653AC">
      <w:pPr>
        <w:pStyle w:val="ListParagraph"/>
        <w:numPr>
          <w:ilvl w:val="0"/>
          <w:numId w:val="20"/>
        </w:numPr>
        <w:jc w:val="both"/>
        <w:rPr>
          <w:rFonts w:cs="Times New Roman"/>
          <w:szCs w:val="24"/>
        </w:rPr>
      </w:pPr>
      <w:r>
        <w:rPr>
          <w:rFonts w:cs="Times New Roman"/>
          <w:szCs w:val="24"/>
        </w:rPr>
        <w:t xml:space="preserve">There are flood dangers associated with </w:t>
      </w:r>
      <w:r w:rsidR="00376E4D">
        <w:rPr>
          <w:rFonts w:cs="Times New Roman"/>
          <w:szCs w:val="24"/>
        </w:rPr>
        <w:t>Substation</w:t>
      </w:r>
      <w:r>
        <w:rPr>
          <w:rFonts w:cs="Times New Roman"/>
          <w:szCs w:val="24"/>
        </w:rPr>
        <w:t xml:space="preserve"> Site 7.</w:t>
      </w:r>
    </w:p>
    <w:p w14:paraId="2591CCB6" w14:textId="5F097CD6" w:rsidR="00B67AD4" w:rsidRPr="00B67AD4" w:rsidRDefault="00B67AD4" w:rsidP="00B67AD4">
      <w:pPr>
        <w:pStyle w:val="ListParagraph"/>
        <w:numPr>
          <w:ilvl w:val="0"/>
          <w:numId w:val="20"/>
        </w:numPr>
        <w:jc w:val="both"/>
        <w:rPr>
          <w:rFonts w:cs="Times New Roman"/>
          <w:szCs w:val="24"/>
        </w:rPr>
      </w:pPr>
      <w:r>
        <w:rPr>
          <w:rFonts w:cs="Times New Roman"/>
          <w:szCs w:val="24"/>
        </w:rPr>
        <w:t xml:space="preserve">There is flooding along </w:t>
      </w:r>
      <w:r w:rsidR="00255952">
        <w:rPr>
          <w:rFonts w:cs="Times New Roman"/>
          <w:szCs w:val="24"/>
        </w:rPr>
        <w:t>Toutant Beauregard</w:t>
      </w:r>
      <w:r>
        <w:rPr>
          <w:rFonts w:cs="Times New Roman"/>
          <w:szCs w:val="24"/>
        </w:rPr>
        <w:t>.</w:t>
      </w:r>
    </w:p>
    <w:p w14:paraId="53E92F0E" w14:textId="4CC72D96" w:rsidR="00572EB5" w:rsidRDefault="00784C09" w:rsidP="00572EB5">
      <w:pPr>
        <w:pStyle w:val="ListParagraph"/>
        <w:numPr>
          <w:ilvl w:val="0"/>
          <w:numId w:val="20"/>
        </w:numPr>
        <w:jc w:val="both"/>
        <w:rPr>
          <w:rFonts w:cs="Times New Roman"/>
          <w:szCs w:val="24"/>
        </w:rPr>
      </w:pPr>
      <w:r>
        <w:rPr>
          <w:rFonts w:cs="Times New Roman"/>
          <w:szCs w:val="24"/>
        </w:rPr>
        <w:lastRenderedPageBreak/>
        <w:t xml:space="preserve">The cost of </w:t>
      </w:r>
      <w:r w:rsidR="00255952">
        <w:rPr>
          <w:rFonts w:cs="Times New Roman"/>
          <w:szCs w:val="24"/>
        </w:rPr>
        <w:t>Toutant Beauregard</w:t>
      </w:r>
      <w:r>
        <w:rPr>
          <w:rFonts w:cs="Times New Roman"/>
          <w:szCs w:val="24"/>
        </w:rPr>
        <w:t xml:space="preserve"> routes from Substations 2 and 3 are essentially equivalent to the central routes but impact many more habitable structures.</w:t>
      </w:r>
    </w:p>
    <w:p w14:paraId="7298E5DA" w14:textId="1F9789CF" w:rsidR="00572EB5" w:rsidRDefault="00255952" w:rsidP="00572EB5">
      <w:pPr>
        <w:pStyle w:val="ListParagraph"/>
        <w:numPr>
          <w:ilvl w:val="0"/>
          <w:numId w:val="20"/>
        </w:numPr>
        <w:jc w:val="both"/>
        <w:rPr>
          <w:rFonts w:cs="Times New Roman"/>
          <w:szCs w:val="24"/>
        </w:rPr>
      </w:pPr>
      <w:r>
        <w:rPr>
          <w:rFonts w:cs="Times New Roman"/>
          <w:szCs w:val="24"/>
        </w:rPr>
        <w:t>Toutant Beauregard</w:t>
      </w:r>
      <w:r w:rsidR="00572EB5">
        <w:rPr>
          <w:rFonts w:cs="Times New Roman"/>
          <w:szCs w:val="24"/>
        </w:rPr>
        <w:t xml:space="preserve"> is an historic corridor recognized by the State of Texas.</w:t>
      </w:r>
    </w:p>
    <w:p w14:paraId="3E94D6E6" w14:textId="5E1614E5" w:rsidR="00572EB5" w:rsidRDefault="00572EB5" w:rsidP="00572EB5">
      <w:pPr>
        <w:pStyle w:val="ListParagraph"/>
        <w:numPr>
          <w:ilvl w:val="0"/>
          <w:numId w:val="20"/>
        </w:numPr>
        <w:jc w:val="both"/>
        <w:rPr>
          <w:rFonts w:cs="Times New Roman"/>
          <w:szCs w:val="24"/>
        </w:rPr>
      </w:pPr>
      <w:r>
        <w:rPr>
          <w:rFonts w:cs="Times New Roman"/>
          <w:szCs w:val="24"/>
        </w:rPr>
        <w:t xml:space="preserve">The Heidemann Ranch historic district is on </w:t>
      </w:r>
      <w:r w:rsidR="00255952">
        <w:rPr>
          <w:rFonts w:cs="Times New Roman"/>
          <w:szCs w:val="24"/>
        </w:rPr>
        <w:t>Toutant Beauregard</w:t>
      </w:r>
      <w:r>
        <w:rPr>
          <w:rFonts w:cs="Times New Roman"/>
          <w:szCs w:val="24"/>
        </w:rPr>
        <w:t>.</w:t>
      </w:r>
    </w:p>
    <w:p w14:paraId="2D9138E2" w14:textId="2C8900A5" w:rsidR="00572EB5" w:rsidRDefault="00572EB5" w:rsidP="00572EB5">
      <w:pPr>
        <w:pStyle w:val="ListParagraph"/>
        <w:numPr>
          <w:ilvl w:val="0"/>
          <w:numId w:val="20"/>
        </w:numPr>
        <w:jc w:val="both"/>
        <w:rPr>
          <w:rFonts w:cs="Times New Roman"/>
          <w:szCs w:val="24"/>
        </w:rPr>
      </w:pPr>
      <w:r>
        <w:rPr>
          <w:rFonts w:cs="Times New Roman"/>
          <w:szCs w:val="24"/>
        </w:rPr>
        <w:t xml:space="preserve">George Strait’s Rose Palace and his property on the southern part of </w:t>
      </w:r>
      <w:r w:rsidR="00255952">
        <w:rPr>
          <w:rFonts w:cs="Times New Roman"/>
          <w:szCs w:val="24"/>
        </w:rPr>
        <w:t>Toutant Beauregard</w:t>
      </w:r>
      <w:r>
        <w:rPr>
          <w:rFonts w:cs="Times New Roman"/>
          <w:szCs w:val="24"/>
        </w:rPr>
        <w:t xml:space="preserve"> across from Scenic Hills are on </w:t>
      </w:r>
      <w:r w:rsidR="00255952">
        <w:rPr>
          <w:rFonts w:cs="Times New Roman"/>
          <w:szCs w:val="24"/>
        </w:rPr>
        <w:t>Toutant Beauregard</w:t>
      </w:r>
      <w:r>
        <w:rPr>
          <w:rFonts w:cs="Times New Roman"/>
          <w:szCs w:val="24"/>
        </w:rPr>
        <w:t>.</w:t>
      </w:r>
    </w:p>
    <w:p w14:paraId="006B3943" w14:textId="31BFE444" w:rsidR="00572EB5" w:rsidRDefault="00572EB5" w:rsidP="00572EB5">
      <w:pPr>
        <w:pStyle w:val="ListParagraph"/>
        <w:numPr>
          <w:ilvl w:val="0"/>
          <w:numId w:val="20"/>
        </w:numPr>
        <w:jc w:val="both"/>
        <w:rPr>
          <w:rFonts w:cs="Times New Roman"/>
          <w:szCs w:val="24"/>
        </w:rPr>
      </w:pPr>
      <w:r>
        <w:rPr>
          <w:rFonts w:cs="Times New Roman"/>
          <w:szCs w:val="24"/>
        </w:rPr>
        <w:t xml:space="preserve">Sara McAndrew Elementary School is impacted only by routes that utilize </w:t>
      </w:r>
      <w:r w:rsidR="00255952">
        <w:rPr>
          <w:rFonts w:cs="Times New Roman"/>
          <w:szCs w:val="24"/>
        </w:rPr>
        <w:t>Toutant Beauregard</w:t>
      </w:r>
      <w:r>
        <w:rPr>
          <w:rFonts w:cs="Times New Roman"/>
          <w:szCs w:val="24"/>
        </w:rPr>
        <w:t>.</w:t>
      </w:r>
    </w:p>
    <w:p w14:paraId="0A16D1D9" w14:textId="34BB0F04" w:rsidR="004A3AEB" w:rsidRDefault="00B67AD4" w:rsidP="00572EB5">
      <w:pPr>
        <w:pStyle w:val="ListParagraph"/>
        <w:numPr>
          <w:ilvl w:val="0"/>
          <w:numId w:val="20"/>
        </w:numPr>
        <w:jc w:val="both"/>
        <w:rPr>
          <w:rFonts w:cs="Times New Roman"/>
          <w:szCs w:val="24"/>
        </w:rPr>
      </w:pPr>
      <w:r>
        <w:rPr>
          <w:rFonts w:cs="Times New Roman"/>
          <w:szCs w:val="24"/>
        </w:rPr>
        <w:t xml:space="preserve">There are routing constraints in the right-of-way that are present only on </w:t>
      </w:r>
      <w:r w:rsidR="00255952">
        <w:rPr>
          <w:rFonts w:cs="Times New Roman"/>
          <w:szCs w:val="24"/>
        </w:rPr>
        <w:t>Toutant Beauregard</w:t>
      </w:r>
      <w:r>
        <w:rPr>
          <w:rFonts w:cs="Times New Roman"/>
          <w:szCs w:val="24"/>
        </w:rPr>
        <w:t>.</w:t>
      </w:r>
    </w:p>
    <w:p w14:paraId="00ACE36A" w14:textId="1C4447DB" w:rsidR="00B67AD4" w:rsidRPr="00572EB5" w:rsidRDefault="00B67AD4" w:rsidP="00572EB5">
      <w:pPr>
        <w:pStyle w:val="ListParagraph"/>
        <w:numPr>
          <w:ilvl w:val="0"/>
          <w:numId w:val="20"/>
        </w:numPr>
        <w:jc w:val="both"/>
        <w:rPr>
          <w:rFonts w:cs="Times New Roman"/>
          <w:szCs w:val="24"/>
        </w:rPr>
      </w:pPr>
      <w:r>
        <w:rPr>
          <w:rFonts w:cs="Times New Roman"/>
          <w:szCs w:val="24"/>
        </w:rPr>
        <w:t xml:space="preserve">CPS Energy has not yet provided complete and accurate data for the rights-of-way along </w:t>
      </w:r>
      <w:r w:rsidR="00255952">
        <w:rPr>
          <w:rFonts w:cs="Times New Roman"/>
          <w:szCs w:val="24"/>
        </w:rPr>
        <w:t>Toutant Beauregard</w:t>
      </w:r>
      <w:r>
        <w:rPr>
          <w:rFonts w:cs="Times New Roman"/>
          <w:szCs w:val="24"/>
        </w:rPr>
        <w:t>.</w:t>
      </w:r>
    </w:p>
    <w:p w14:paraId="44A751A6" w14:textId="3A20AA77" w:rsidR="00A66AC9" w:rsidRPr="00A66AC9" w:rsidRDefault="00A66AC9" w:rsidP="00A66AC9">
      <w:pPr>
        <w:spacing w:line="240" w:lineRule="auto"/>
        <w:ind w:left="4680"/>
        <w:rPr>
          <w:rFonts w:cs="Times New Roman"/>
          <w:szCs w:val="24"/>
        </w:rPr>
      </w:pPr>
      <w:r w:rsidRPr="00A66AC9">
        <w:rPr>
          <w:rFonts w:cs="Times New Roman"/>
          <w:szCs w:val="24"/>
        </w:rPr>
        <w:t>Respectfully submitted,</w:t>
      </w:r>
    </w:p>
    <w:p w14:paraId="61F42E43" w14:textId="77777777" w:rsidR="00A66AC9" w:rsidRPr="00A66AC9" w:rsidRDefault="00A66AC9" w:rsidP="00A66AC9">
      <w:pPr>
        <w:spacing w:line="240" w:lineRule="auto"/>
        <w:ind w:left="4680"/>
        <w:rPr>
          <w:rFonts w:cs="Times New Roman"/>
          <w:szCs w:val="24"/>
        </w:rPr>
      </w:pPr>
    </w:p>
    <w:p w14:paraId="6F9F9BD3" w14:textId="77777777" w:rsidR="00A66AC9" w:rsidRPr="00A66AC9" w:rsidRDefault="00A66AC9" w:rsidP="00A66AC9">
      <w:pPr>
        <w:spacing w:line="240" w:lineRule="auto"/>
        <w:ind w:left="4680"/>
        <w:rPr>
          <w:rFonts w:cs="Times New Roman"/>
          <w:szCs w:val="24"/>
        </w:rPr>
      </w:pPr>
    </w:p>
    <w:p w14:paraId="5929E589" w14:textId="77777777" w:rsidR="00A66AC9" w:rsidRPr="00A66AC9" w:rsidRDefault="00A66AC9" w:rsidP="00A66AC9">
      <w:pPr>
        <w:spacing w:line="240" w:lineRule="auto"/>
        <w:ind w:left="4680"/>
        <w:rPr>
          <w:rFonts w:cs="Times New Roman"/>
          <w:szCs w:val="24"/>
        </w:rPr>
      </w:pPr>
    </w:p>
    <w:p w14:paraId="3757AA96" w14:textId="77777777" w:rsidR="00A66AC9" w:rsidRPr="00A66AC9" w:rsidRDefault="00A66AC9" w:rsidP="00A66AC9">
      <w:pPr>
        <w:spacing w:line="240" w:lineRule="auto"/>
        <w:ind w:left="4680"/>
        <w:rPr>
          <w:rFonts w:cs="Times New Roman"/>
          <w:szCs w:val="24"/>
        </w:rPr>
      </w:pPr>
      <w:bookmarkStart w:id="18" w:name="_Hlk56915156"/>
      <w:r w:rsidRPr="00A66AC9">
        <w:rPr>
          <w:rFonts w:cs="Times New Roman"/>
          <w:szCs w:val="24"/>
        </w:rPr>
        <w:t>By:</w:t>
      </w:r>
      <w:r w:rsidRPr="00A66AC9">
        <w:rPr>
          <w:rFonts w:cs="Times New Roman"/>
          <w:szCs w:val="24"/>
        </w:rPr>
        <w:tab/>
        <w:t>__________________________________</w:t>
      </w:r>
      <w:bookmarkEnd w:id="18"/>
    </w:p>
    <w:p w14:paraId="393812F6" w14:textId="77777777" w:rsidR="00A66AC9" w:rsidRPr="00A66AC9" w:rsidRDefault="00A66AC9" w:rsidP="00A66AC9">
      <w:pPr>
        <w:tabs>
          <w:tab w:val="left" w:pos="630"/>
        </w:tabs>
        <w:spacing w:line="240" w:lineRule="auto"/>
        <w:ind w:left="-18" w:firstLine="4968"/>
        <w:rPr>
          <w:rFonts w:cs="Times New Roman"/>
          <w:szCs w:val="24"/>
        </w:rPr>
      </w:pPr>
      <w:r w:rsidRPr="00A66AC9">
        <w:rPr>
          <w:rFonts w:cs="Times New Roman"/>
          <w:szCs w:val="24"/>
        </w:rPr>
        <w:t>Ann M. Coffin</w:t>
      </w:r>
    </w:p>
    <w:p w14:paraId="373C325F" w14:textId="77777777" w:rsidR="00A66AC9" w:rsidRPr="00A66AC9" w:rsidRDefault="00A66AC9" w:rsidP="00A66AC9">
      <w:pPr>
        <w:tabs>
          <w:tab w:val="left" w:pos="630"/>
        </w:tabs>
        <w:spacing w:line="240" w:lineRule="auto"/>
        <w:ind w:left="-18" w:firstLine="4968"/>
        <w:rPr>
          <w:rFonts w:cs="Times New Roman"/>
          <w:szCs w:val="24"/>
        </w:rPr>
      </w:pPr>
      <w:r w:rsidRPr="00A66AC9">
        <w:rPr>
          <w:rFonts w:cs="Times New Roman"/>
          <w:szCs w:val="24"/>
        </w:rPr>
        <w:t>State Bar No. 00787941</w:t>
      </w:r>
    </w:p>
    <w:p w14:paraId="1B653989" w14:textId="77777777" w:rsidR="00A66AC9" w:rsidRPr="00A66AC9" w:rsidRDefault="00A66AC9" w:rsidP="00A66AC9">
      <w:pPr>
        <w:tabs>
          <w:tab w:val="left" w:pos="630"/>
        </w:tabs>
        <w:spacing w:line="240" w:lineRule="auto"/>
        <w:ind w:left="-18" w:firstLine="4968"/>
        <w:rPr>
          <w:rFonts w:cs="Times New Roman"/>
          <w:szCs w:val="24"/>
        </w:rPr>
      </w:pPr>
      <w:r w:rsidRPr="00A66AC9">
        <w:rPr>
          <w:rFonts w:cs="Times New Roman"/>
          <w:szCs w:val="24"/>
        </w:rPr>
        <w:t xml:space="preserve">Wendy K. L. Harvel </w:t>
      </w:r>
    </w:p>
    <w:p w14:paraId="155CFA24" w14:textId="77777777" w:rsidR="00A66AC9" w:rsidRPr="00A66AC9" w:rsidRDefault="00A66AC9" w:rsidP="00A66AC9">
      <w:pPr>
        <w:tabs>
          <w:tab w:val="left" w:pos="630"/>
        </w:tabs>
        <w:spacing w:line="240" w:lineRule="auto"/>
        <w:ind w:left="-18" w:firstLine="4968"/>
        <w:rPr>
          <w:rFonts w:cs="Times New Roman"/>
          <w:szCs w:val="24"/>
        </w:rPr>
      </w:pPr>
      <w:r w:rsidRPr="00A66AC9">
        <w:rPr>
          <w:rFonts w:cs="Times New Roman"/>
          <w:szCs w:val="24"/>
        </w:rPr>
        <w:t>State Bar No. 00796719</w:t>
      </w:r>
    </w:p>
    <w:p w14:paraId="2AF4E17D" w14:textId="77777777" w:rsidR="00A66AC9" w:rsidRPr="00A66AC9" w:rsidRDefault="00A66AC9" w:rsidP="00A66AC9">
      <w:pPr>
        <w:tabs>
          <w:tab w:val="left" w:pos="630"/>
        </w:tabs>
        <w:spacing w:line="240" w:lineRule="auto"/>
        <w:ind w:left="-18" w:firstLine="4968"/>
        <w:rPr>
          <w:rFonts w:cs="Times New Roman"/>
          <w:szCs w:val="24"/>
        </w:rPr>
      </w:pPr>
      <w:r w:rsidRPr="00A66AC9">
        <w:rPr>
          <w:rFonts w:cs="Times New Roman"/>
          <w:bCs/>
          <w:szCs w:val="24"/>
        </w:rPr>
        <w:t>C. Glenn Adkins</w:t>
      </w:r>
    </w:p>
    <w:p w14:paraId="0F7B4AE9" w14:textId="77777777" w:rsidR="00A66AC9" w:rsidRPr="00A66AC9" w:rsidRDefault="00A66AC9" w:rsidP="00A66AC9">
      <w:pPr>
        <w:tabs>
          <w:tab w:val="left" w:pos="630"/>
        </w:tabs>
        <w:spacing w:line="240" w:lineRule="auto"/>
        <w:ind w:left="-18" w:firstLine="4968"/>
        <w:rPr>
          <w:rFonts w:cs="Times New Roman"/>
          <w:bCs/>
          <w:szCs w:val="24"/>
        </w:rPr>
      </w:pPr>
      <w:r w:rsidRPr="00A66AC9">
        <w:rPr>
          <w:rFonts w:cs="Times New Roman"/>
          <w:bCs/>
          <w:szCs w:val="24"/>
        </w:rPr>
        <w:t xml:space="preserve">State Bar No. </w:t>
      </w:r>
      <w:r w:rsidRPr="00A66AC9">
        <w:rPr>
          <w:rFonts w:eastAsia="Times New Roman" w:cs="Times New Roman"/>
          <w:bCs/>
          <w:szCs w:val="24"/>
        </w:rPr>
        <w:t>24103097</w:t>
      </w:r>
    </w:p>
    <w:p w14:paraId="07F57F99" w14:textId="77777777" w:rsidR="00A66AC9" w:rsidRPr="00A66AC9" w:rsidRDefault="00A66AC9" w:rsidP="00A66AC9">
      <w:pPr>
        <w:tabs>
          <w:tab w:val="left" w:pos="630"/>
        </w:tabs>
        <w:spacing w:line="240" w:lineRule="auto"/>
        <w:ind w:left="-18" w:firstLine="4968"/>
        <w:rPr>
          <w:rFonts w:cs="Times New Roman"/>
          <w:bCs/>
          <w:szCs w:val="24"/>
        </w:rPr>
      </w:pPr>
      <w:r w:rsidRPr="00A66AC9">
        <w:rPr>
          <w:rFonts w:cs="Times New Roman"/>
          <w:szCs w:val="24"/>
        </w:rPr>
        <w:t>Coffin Renner LLP</w:t>
      </w:r>
    </w:p>
    <w:p w14:paraId="702CD7D6" w14:textId="77777777" w:rsidR="00A66AC9" w:rsidRPr="00A66AC9" w:rsidRDefault="00A66AC9" w:rsidP="00A66AC9">
      <w:pPr>
        <w:tabs>
          <w:tab w:val="left" w:pos="630"/>
        </w:tabs>
        <w:spacing w:line="240" w:lineRule="auto"/>
        <w:ind w:left="-18" w:firstLine="4968"/>
        <w:rPr>
          <w:rFonts w:cs="Times New Roman"/>
          <w:bCs/>
          <w:szCs w:val="24"/>
        </w:rPr>
      </w:pPr>
      <w:r w:rsidRPr="00A66AC9">
        <w:rPr>
          <w:rFonts w:cs="Times New Roman"/>
          <w:szCs w:val="24"/>
        </w:rPr>
        <w:t>1011 West 31</w:t>
      </w:r>
      <w:r w:rsidRPr="00A66AC9">
        <w:rPr>
          <w:rFonts w:cs="Times New Roman"/>
          <w:szCs w:val="24"/>
          <w:vertAlign w:val="superscript"/>
        </w:rPr>
        <w:t>st</w:t>
      </w:r>
      <w:r w:rsidRPr="00A66AC9">
        <w:rPr>
          <w:rFonts w:cs="Times New Roman"/>
          <w:szCs w:val="24"/>
        </w:rPr>
        <w:t xml:space="preserve"> Street</w:t>
      </w:r>
    </w:p>
    <w:p w14:paraId="036122FC" w14:textId="77777777" w:rsidR="00A66AC9" w:rsidRPr="00A66AC9" w:rsidRDefault="00A66AC9" w:rsidP="00A66AC9">
      <w:pPr>
        <w:tabs>
          <w:tab w:val="left" w:pos="630"/>
        </w:tabs>
        <w:spacing w:line="240" w:lineRule="auto"/>
        <w:ind w:left="-18" w:firstLine="4968"/>
        <w:rPr>
          <w:rFonts w:cs="Times New Roman"/>
          <w:bCs/>
          <w:szCs w:val="24"/>
        </w:rPr>
      </w:pPr>
      <w:r w:rsidRPr="00A66AC9">
        <w:rPr>
          <w:rFonts w:cs="Times New Roman"/>
          <w:szCs w:val="24"/>
        </w:rPr>
        <w:t>Austin, TX 78705</w:t>
      </w:r>
    </w:p>
    <w:p w14:paraId="4087C2F0" w14:textId="77777777" w:rsidR="00A66AC9" w:rsidRPr="00A66AC9" w:rsidRDefault="00A66AC9" w:rsidP="00A66AC9">
      <w:pPr>
        <w:tabs>
          <w:tab w:val="left" w:pos="630"/>
        </w:tabs>
        <w:spacing w:line="240" w:lineRule="auto"/>
        <w:ind w:left="-18" w:firstLine="4968"/>
        <w:rPr>
          <w:rFonts w:cs="Times New Roman"/>
          <w:bCs/>
          <w:szCs w:val="24"/>
        </w:rPr>
      </w:pPr>
      <w:r w:rsidRPr="00A66AC9">
        <w:rPr>
          <w:rFonts w:cs="Times New Roman"/>
          <w:szCs w:val="24"/>
        </w:rPr>
        <w:t>(512) 879-0900</w:t>
      </w:r>
    </w:p>
    <w:p w14:paraId="334E3D2A" w14:textId="77777777" w:rsidR="00A66AC9" w:rsidRPr="00A66AC9" w:rsidRDefault="00A66AC9" w:rsidP="00A66AC9">
      <w:pPr>
        <w:tabs>
          <w:tab w:val="left" w:pos="630"/>
        </w:tabs>
        <w:spacing w:line="240" w:lineRule="auto"/>
        <w:ind w:left="-18" w:firstLine="4968"/>
        <w:rPr>
          <w:rFonts w:cs="Times New Roman"/>
          <w:szCs w:val="24"/>
        </w:rPr>
      </w:pPr>
      <w:r w:rsidRPr="00A66AC9">
        <w:rPr>
          <w:rFonts w:cs="Times New Roman"/>
          <w:szCs w:val="24"/>
        </w:rPr>
        <w:t>(512) 879-0912 (fax)</w:t>
      </w:r>
    </w:p>
    <w:p w14:paraId="5B8D5524" w14:textId="77777777" w:rsidR="00A66AC9" w:rsidRPr="00A66AC9" w:rsidRDefault="00A66AC9" w:rsidP="00A66AC9">
      <w:pPr>
        <w:tabs>
          <w:tab w:val="left" w:pos="630"/>
        </w:tabs>
        <w:spacing w:line="240" w:lineRule="auto"/>
        <w:ind w:left="-18" w:firstLine="4968"/>
        <w:rPr>
          <w:rFonts w:cs="Times New Roman"/>
          <w:szCs w:val="24"/>
        </w:rPr>
      </w:pPr>
      <w:r w:rsidRPr="00A66AC9">
        <w:rPr>
          <w:rFonts w:cs="Times New Roman"/>
          <w:szCs w:val="24"/>
        </w:rPr>
        <w:t>ann.coffin@crtxlaw.com</w:t>
      </w:r>
    </w:p>
    <w:p w14:paraId="58081A99" w14:textId="77777777" w:rsidR="00A66AC9" w:rsidRPr="00A66AC9" w:rsidRDefault="00A66AC9" w:rsidP="00A66AC9">
      <w:pPr>
        <w:tabs>
          <w:tab w:val="left" w:pos="8760"/>
        </w:tabs>
        <w:spacing w:line="240" w:lineRule="auto"/>
        <w:ind w:firstLine="4968"/>
        <w:rPr>
          <w:rFonts w:cs="Times New Roman"/>
          <w:szCs w:val="24"/>
        </w:rPr>
      </w:pPr>
      <w:r w:rsidRPr="00A66AC9">
        <w:rPr>
          <w:rFonts w:cs="Times New Roman"/>
          <w:szCs w:val="24"/>
        </w:rPr>
        <w:t>wendy.harvel@crtxlaw.com</w:t>
      </w:r>
    </w:p>
    <w:p w14:paraId="49F1353A" w14:textId="77777777" w:rsidR="00A66AC9" w:rsidRPr="00A66AC9" w:rsidRDefault="00A66AC9" w:rsidP="00A66AC9">
      <w:pPr>
        <w:tabs>
          <w:tab w:val="left" w:pos="8760"/>
        </w:tabs>
        <w:spacing w:line="240" w:lineRule="auto"/>
        <w:ind w:firstLine="4968"/>
        <w:rPr>
          <w:rFonts w:cs="Times New Roman"/>
          <w:szCs w:val="24"/>
        </w:rPr>
      </w:pPr>
      <w:r w:rsidRPr="00A66AC9">
        <w:rPr>
          <w:rFonts w:cs="Times New Roman"/>
          <w:szCs w:val="24"/>
        </w:rPr>
        <w:t>glenn.adkins@crtxlaw.com</w:t>
      </w:r>
    </w:p>
    <w:p w14:paraId="4593BD26" w14:textId="77777777" w:rsidR="00A66AC9" w:rsidRPr="00A66AC9" w:rsidRDefault="00A66AC9" w:rsidP="00A66AC9">
      <w:pPr>
        <w:tabs>
          <w:tab w:val="left" w:pos="8760"/>
        </w:tabs>
        <w:spacing w:line="240" w:lineRule="auto"/>
        <w:ind w:firstLine="4968"/>
        <w:rPr>
          <w:rFonts w:cs="Times New Roman"/>
          <w:szCs w:val="24"/>
        </w:rPr>
      </w:pPr>
    </w:p>
    <w:p w14:paraId="4FCC34CB" w14:textId="77777777" w:rsidR="00A66AC9" w:rsidRPr="00A66AC9" w:rsidRDefault="00A66AC9" w:rsidP="00A66AC9">
      <w:pPr>
        <w:tabs>
          <w:tab w:val="left" w:pos="8760"/>
        </w:tabs>
        <w:spacing w:line="240" w:lineRule="auto"/>
        <w:ind w:left="4680"/>
        <w:rPr>
          <w:rFonts w:cs="Times New Roman"/>
          <w:b/>
          <w:szCs w:val="24"/>
        </w:rPr>
      </w:pPr>
      <w:r w:rsidRPr="00A66AC9">
        <w:rPr>
          <w:rFonts w:cs="Times New Roman"/>
          <w:b/>
          <w:szCs w:val="24"/>
        </w:rPr>
        <w:t>ATTORNEYS FOR ANAQUA SPRINGS HOMEOWNERS’ ASSOCIATION</w:t>
      </w:r>
    </w:p>
    <w:p w14:paraId="3F8EC3DD" w14:textId="36CFCBC1" w:rsidR="00A66AC9" w:rsidRPr="00A66AC9" w:rsidRDefault="00A66AC9" w:rsidP="00A66AC9">
      <w:pPr>
        <w:spacing w:line="240" w:lineRule="auto"/>
        <w:jc w:val="center"/>
        <w:rPr>
          <w:rFonts w:cs="Times New Roman"/>
          <w:b/>
          <w:bCs/>
          <w:szCs w:val="24"/>
          <w:u w:val="single"/>
        </w:rPr>
      </w:pPr>
      <w:r w:rsidRPr="00A66AC9">
        <w:rPr>
          <w:rFonts w:cs="Times New Roman"/>
          <w:b/>
          <w:bCs/>
          <w:szCs w:val="24"/>
          <w:u w:val="single"/>
        </w:rPr>
        <w:lastRenderedPageBreak/>
        <w:t>CERTIFICATE OF SERVICE</w:t>
      </w:r>
    </w:p>
    <w:p w14:paraId="62FCC3A9" w14:textId="77777777" w:rsidR="00A66AC9" w:rsidRPr="00A66AC9" w:rsidRDefault="00A66AC9" w:rsidP="00A66AC9">
      <w:pPr>
        <w:spacing w:line="240" w:lineRule="auto"/>
        <w:rPr>
          <w:rFonts w:cs="Times New Roman"/>
          <w:szCs w:val="24"/>
        </w:rPr>
      </w:pPr>
    </w:p>
    <w:p w14:paraId="15EB0416" w14:textId="78969A70" w:rsidR="00A66AC9" w:rsidRDefault="00A66AC9" w:rsidP="00134B94">
      <w:pPr>
        <w:spacing w:line="240" w:lineRule="auto"/>
        <w:jc w:val="both"/>
        <w:rPr>
          <w:rFonts w:cs="Times New Roman"/>
          <w:szCs w:val="24"/>
        </w:rPr>
      </w:pPr>
      <w:r w:rsidRPr="00A66AC9">
        <w:rPr>
          <w:rFonts w:cs="Times New Roman"/>
          <w:szCs w:val="24"/>
        </w:rPr>
        <w:tab/>
        <w:t>I hereby certify that a true and correct copy of the foregoing has been filed with the Commission and served on all other parties via the PUC Interchange on this 2</w:t>
      </w:r>
      <w:r w:rsidR="004F237D">
        <w:rPr>
          <w:rFonts w:cs="Times New Roman"/>
          <w:szCs w:val="24"/>
        </w:rPr>
        <w:t>8</w:t>
      </w:r>
      <w:r w:rsidR="004F237D" w:rsidRPr="004F237D">
        <w:rPr>
          <w:rFonts w:cs="Times New Roman"/>
          <w:szCs w:val="24"/>
          <w:vertAlign w:val="superscript"/>
        </w:rPr>
        <w:t>th</w:t>
      </w:r>
      <w:r w:rsidR="004F237D">
        <w:rPr>
          <w:rFonts w:cs="Times New Roman"/>
          <w:szCs w:val="24"/>
        </w:rPr>
        <w:t xml:space="preserve"> </w:t>
      </w:r>
      <w:r w:rsidRPr="00A66AC9">
        <w:rPr>
          <w:rFonts w:cs="Times New Roman"/>
          <w:szCs w:val="24"/>
        </w:rPr>
        <w:t xml:space="preserve">day of </w:t>
      </w:r>
      <w:r>
        <w:rPr>
          <w:rFonts w:cs="Times New Roman"/>
          <w:szCs w:val="24"/>
        </w:rPr>
        <w:t>May</w:t>
      </w:r>
      <w:r w:rsidRPr="00A66AC9">
        <w:rPr>
          <w:rFonts w:cs="Times New Roman"/>
          <w:szCs w:val="24"/>
        </w:rPr>
        <w:t xml:space="preserve"> 2021, pursuant to SOAH Order No. 3 issued in this docket. </w:t>
      </w:r>
    </w:p>
    <w:p w14:paraId="2855C799" w14:textId="77777777" w:rsidR="009E5BEB" w:rsidRPr="00A66AC9" w:rsidRDefault="009E5BEB" w:rsidP="00134B94">
      <w:pPr>
        <w:spacing w:line="240" w:lineRule="auto"/>
        <w:jc w:val="both"/>
        <w:rPr>
          <w:rFonts w:cs="Times New Roman"/>
          <w:szCs w:val="24"/>
        </w:rPr>
      </w:pPr>
    </w:p>
    <w:p w14:paraId="740883B9" w14:textId="77777777" w:rsidR="00A66AC9" w:rsidRPr="00A66AC9" w:rsidRDefault="00A66AC9" w:rsidP="00A66AC9">
      <w:pPr>
        <w:spacing w:line="240" w:lineRule="auto"/>
        <w:rPr>
          <w:rFonts w:cs="Times New Roman"/>
          <w:szCs w:val="24"/>
        </w:rPr>
      </w:pPr>
      <w:r w:rsidRPr="00A66AC9">
        <w:rPr>
          <w:rFonts w:cs="Times New Roman"/>
          <w:szCs w:val="24"/>
        </w:rPr>
        <w:tab/>
      </w:r>
      <w:r w:rsidRPr="00A66AC9">
        <w:rPr>
          <w:rFonts w:cs="Times New Roman"/>
          <w:szCs w:val="24"/>
        </w:rPr>
        <w:tab/>
      </w:r>
      <w:r w:rsidRPr="00A66AC9">
        <w:rPr>
          <w:rFonts w:cs="Times New Roman"/>
          <w:szCs w:val="24"/>
        </w:rPr>
        <w:tab/>
      </w:r>
      <w:r w:rsidRPr="00A66AC9">
        <w:rPr>
          <w:rFonts w:cs="Times New Roman"/>
          <w:szCs w:val="24"/>
        </w:rPr>
        <w:tab/>
      </w:r>
      <w:r w:rsidRPr="00A66AC9">
        <w:rPr>
          <w:rFonts w:cs="Times New Roman"/>
          <w:szCs w:val="24"/>
        </w:rPr>
        <w:tab/>
      </w:r>
      <w:r w:rsidRPr="00A66AC9">
        <w:rPr>
          <w:rFonts w:cs="Times New Roman"/>
          <w:szCs w:val="24"/>
        </w:rPr>
        <w:tab/>
      </w:r>
      <w:r w:rsidRPr="00A66AC9">
        <w:rPr>
          <w:rFonts w:cs="Times New Roman"/>
          <w:szCs w:val="24"/>
        </w:rPr>
        <w:tab/>
        <w:t>________________________________</w:t>
      </w:r>
    </w:p>
    <w:p w14:paraId="05B25835" w14:textId="77777777" w:rsidR="00A66AC9" w:rsidRPr="00A66AC9" w:rsidRDefault="00A66AC9" w:rsidP="00A66AC9">
      <w:pPr>
        <w:spacing w:line="240" w:lineRule="auto"/>
        <w:rPr>
          <w:rFonts w:cs="Times New Roman"/>
          <w:szCs w:val="24"/>
        </w:rPr>
      </w:pPr>
      <w:r w:rsidRPr="00A66AC9">
        <w:rPr>
          <w:rFonts w:cs="Times New Roman"/>
          <w:szCs w:val="24"/>
        </w:rPr>
        <w:tab/>
      </w:r>
      <w:r w:rsidRPr="00A66AC9">
        <w:rPr>
          <w:rFonts w:cs="Times New Roman"/>
          <w:szCs w:val="24"/>
        </w:rPr>
        <w:tab/>
      </w:r>
      <w:r w:rsidRPr="00A66AC9">
        <w:rPr>
          <w:rFonts w:cs="Times New Roman"/>
          <w:szCs w:val="24"/>
        </w:rPr>
        <w:tab/>
      </w:r>
      <w:r w:rsidRPr="00A66AC9">
        <w:rPr>
          <w:rFonts w:cs="Times New Roman"/>
          <w:szCs w:val="24"/>
        </w:rPr>
        <w:tab/>
      </w:r>
      <w:r w:rsidRPr="00A66AC9">
        <w:rPr>
          <w:rFonts w:cs="Times New Roman"/>
          <w:szCs w:val="24"/>
        </w:rPr>
        <w:tab/>
      </w:r>
      <w:r w:rsidRPr="00A66AC9">
        <w:rPr>
          <w:rFonts w:cs="Times New Roman"/>
          <w:szCs w:val="24"/>
        </w:rPr>
        <w:tab/>
      </w:r>
      <w:r w:rsidRPr="00A66AC9">
        <w:rPr>
          <w:rFonts w:cs="Times New Roman"/>
          <w:szCs w:val="24"/>
        </w:rPr>
        <w:tab/>
        <w:t>Wendy K. L. Harvel</w:t>
      </w:r>
    </w:p>
    <w:p w14:paraId="021BD728" w14:textId="77777777" w:rsidR="00A66AC9" w:rsidRPr="00251BB0" w:rsidRDefault="00A66AC9" w:rsidP="000D6919">
      <w:pPr>
        <w:tabs>
          <w:tab w:val="left" w:pos="360"/>
          <w:tab w:val="left" w:pos="720"/>
          <w:tab w:val="left" w:pos="1080"/>
          <w:tab w:val="left" w:pos="1440"/>
        </w:tabs>
        <w:jc w:val="both"/>
        <w:rPr>
          <w:rFonts w:cs="Times New Roman"/>
          <w:szCs w:val="24"/>
        </w:rPr>
      </w:pPr>
    </w:p>
    <w:sectPr w:rsidR="00A66AC9" w:rsidRPr="00251BB0">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22989" w14:textId="77777777" w:rsidR="00F80319" w:rsidRDefault="00F80319" w:rsidP="00F80319">
      <w:pPr>
        <w:spacing w:line="240" w:lineRule="auto"/>
      </w:pPr>
      <w:r>
        <w:separator/>
      </w:r>
    </w:p>
  </w:endnote>
  <w:endnote w:type="continuationSeparator" w:id="0">
    <w:p w14:paraId="3C116942" w14:textId="77777777" w:rsidR="00F80319" w:rsidRDefault="00F80319" w:rsidP="00F803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044E0" w14:textId="79EF306F" w:rsidR="00974F88" w:rsidRDefault="00974F88" w:rsidP="00765D4A">
    <w:pPr>
      <w:pStyle w:val="Footer"/>
      <w:jc w:val="center"/>
    </w:pP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C0CB8" w14:textId="77777777" w:rsidR="00F80319" w:rsidRDefault="00F80319" w:rsidP="00F80319">
      <w:pPr>
        <w:spacing w:line="240" w:lineRule="auto"/>
      </w:pPr>
      <w:r>
        <w:separator/>
      </w:r>
    </w:p>
  </w:footnote>
  <w:footnote w:type="continuationSeparator" w:id="0">
    <w:p w14:paraId="5E802B38" w14:textId="77777777" w:rsidR="00F80319" w:rsidRDefault="00F80319" w:rsidP="00F80319">
      <w:pPr>
        <w:spacing w:line="240" w:lineRule="auto"/>
      </w:pPr>
      <w:r>
        <w:continuationSeparator/>
      </w:r>
    </w:p>
  </w:footnote>
  <w:footnote w:id="1">
    <w:p w14:paraId="0A3230B2" w14:textId="63437C3D" w:rsidR="009F43D5" w:rsidRDefault="009F43D5">
      <w:pPr>
        <w:pStyle w:val="FootnoteText"/>
      </w:pPr>
      <w:r>
        <w:rPr>
          <w:rStyle w:val="FootnoteReference"/>
        </w:rPr>
        <w:footnoteRef/>
      </w:r>
      <w:r>
        <w:t xml:space="preserve"> Anaqua Springs HOA is filing proposed findings of fact and conclusions of law as a separate but simultaneous filing in this docket.</w:t>
      </w:r>
    </w:p>
  </w:footnote>
  <w:footnote w:id="2">
    <w:p w14:paraId="3410970A" w14:textId="72CCBAD4" w:rsidR="004E01DE" w:rsidRDefault="004E01DE">
      <w:pPr>
        <w:pStyle w:val="FootnoteText"/>
      </w:pPr>
      <w:r>
        <w:rPr>
          <w:rStyle w:val="FootnoteReference"/>
        </w:rPr>
        <w:footnoteRef/>
      </w:r>
      <w:r>
        <w:t xml:space="preserve"> Additionally, Scott Luedke, a landowner adjacent to Substation 7, received no notice and tried to intervene in opposition to the </w:t>
      </w:r>
      <w:r w:rsidR="00255952">
        <w:t>Toutant Beauregard</w:t>
      </w:r>
      <w:r>
        <w:t xml:space="preserve"> routes.  His intervention was denied.</w:t>
      </w:r>
    </w:p>
  </w:footnote>
  <w:footnote w:id="3">
    <w:p w14:paraId="1F79DD45" w14:textId="09690821" w:rsidR="00644A73" w:rsidRDefault="00644A73">
      <w:pPr>
        <w:pStyle w:val="FootnoteText"/>
      </w:pPr>
      <w:r>
        <w:rPr>
          <w:rStyle w:val="FootnoteReference"/>
        </w:rPr>
        <w:footnoteRef/>
      </w:r>
      <w:r>
        <w:t xml:space="preserve"> </w:t>
      </w:r>
      <w:r w:rsidR="006D4D73">
        <w:t>Chandler Initial Brief at 1.</w:t>
      </w:r>
    </w:p>
  </w:footnote>
  <w:footnote w:id="4">
    <w:p w14:paraId="0836DF9D" w14:textId="74BB88EE" w:rsidR="00E94113" w:rsidRDefault="00E94113">
      <w:pPr>
        <w:pStyle w:val="FootnoteText"/>
      </w:pPr>
      <w:r>
        <w:rPr>
          <w:rStyle w:val="FootnoteReference"/>
        </w:rPr>
        <w:footnoteRef/>
      </w:r>
      <w:r>
        <w:t xml:space="preserve"> </w:t>
      </w:r>
      <w:r w:rsidR="006D4D73">
        <w:t xml:space="preserve">AS/Jauer Ex. No. 24 at 16:13-17:1 (Anderson Direct); CPS Energy Ex. 1, </w:t>
      </w:r>
      <w:r w:rsidR="009A3421">
        <w:t xml:space="preserve">Original Application, Attachment 1, </w:t>
      </w:r>
      <w:r w:rsidR="006D4D73" w:rsidRPr="00B7027A">
        <w:t>Environmental Assessment 6-2 through 6-4</w:t>
      </w:r>
      <w:r w:rsidR="006D4D73">
        <w:t xml:space="preserve"> (Original Application).</w:t>
      </w:r>
    </w:p>
  </w:footnote>
  <w:footnote w:id="5">
    <w:p w14:paraId="0F6CC395" w14:textId="77777777" w:rsidR="0039435D" w:rsidRDefault="0039435D" w:rsidP="0039435D">
      <w:pPr>
        <w:pStyle w:val="FootnoteText"/>
      </w:pPr>
      <w:r>
        <w:rPr>
          <w:rStyle w:val="FootnoteReference"/>
        </w:rPr>
        <w:footnoteRef/>
      </w:r>
      <w:r>
        <w:t xml:space="preserve"> Bernsen Initial Brief at 5.</w:t>
      </w:r>
    </w:p>
  </w:footnote>
  <w:footnote w:id="6">
    <w:p w14:paraId="045663A0" w14:textId="4E419FFC" w:rsidR="00E81483" w:rsidRDefault="00E81483">
      <w:pPr>
        <w:pStyle w:val="FootnoteText"/>
      </w:pPr>
      <w:r>
        <w:rPr>
          <w:rStyle w:val="FootnoteReference"/>
        </w:rPr>
        <w:footnoteRef/>
      </w:r>
      <w:r>
        <w:t xml:space="preserve"> </w:t>
      </w:r>
      <w:r w:rsidR="006D4D73">
        <w:t>AS Ex. 1 at 10:9-12, Revised Direct Testimony of Steve Cichowski on behalf of Anaqua Springs HOA (Cichowski Direct).</w:t>
      </w:r>
    </w:p>
  </w:footnote>
  <w:footnote w:id="7">
    <w:p w14:paraId="651D4D68" w14:textId="508D8AE5" w:rsidR="00994C6C" w:rsidRDefault="00994C6C">
      <w:pPr>
        <w:pStyle w:val="FootnoteText"/>
      </w:pPr>
      <w:r>
        <w:rPr>
          <w:rStyle w:val="FootnoteReference"/>
        </w:rPr>
        <w:footnoteRef/>
      </w:r>
      <w:r>
        <w:t xml:space="preserve"> Bexar and </w:t>
      </w:r>
      <w:proofErr w:type="spellStart"/>
      <w:r>
        <w:t>Guajalote</w:t>
      </w:r>
      <w:proofErr w:type="spellEnd"/>
      <w:r>
        <w:t xml:space="preserve"> Initial Brief at 28, Tr at 734:17-735:5 (Bexar Ranch Redirect) (May 5, 2021).</w:t>
      </w:r>
    </w:p>
  </w:footnote>
  <w:footnote w:id="8">
    <w:p w14:paraId="0BEAA108" w14:textId="61739831" w:rsidR="00994C6C" w:rsidRDefault="00994C6C">
      <w:pPr>
        <w:pStyle w:val="FootnoteText"/>
      </w:pPr>
      <w:r>
        <w:rPr>
          <w:rStyle w:val="FootnoteReference"/>
        </w:rPr>
        <w:footnoteRef/>
      </w:r>
      <w:r>
        <w:t xml:space="preserve"> Tr. at 734:10-12 (Bexar Ranch Redirect) (May 5, 2021).</w:t>
      </w:r>
    </w:p>
  </w:footnote>
  <w:footnote w:id="9">
    <w:p w14:paraId="4556A670" w14:textId="4CF870C9" w:rsidR="00CC3EAE" w:rsidRDefault="00CC3EAE" w:rsidP="00CC3EAE">
      <w:pPr>
        <w:pStyle w:val="FootnoteText"/>
      </w:pPr>
      <w:r>
        <w:rPr>
          <w:rStyle w:val="FootnoteReference"/>
        </w:rPr>
        <w:footnoteRef/>
      </w:r>
      <w:r>
        <w:t xml:space="preserve"> CPS Energy Initial Brief at 20.</w:t>
      </w:r>
    </w:p>
  </w:footnote>
  <w:footnote w:id="10">
    <w:p w14:paraId="10693DC4" w14:textId="50CAA09C" w:rsidR="00E61DE6" w:rsidRDefault="00E61DE6">
      <w:pPr>
        <w:pStyle w:val="FootnoteText"/>
      </w:pPr>
      <w:r>
        <w:rPr>
          <w:rStyle w:val="FootnoteReference"/>
        </w:rPr>
        <w:footnoteRef/>
      </w:r>
      <w:r>
        <w:t xml:space="preserve"> </w:t>
      </w:r>
      <w:r w:rsidR="00FC1DF4">
        <w:t>Tr. at 477:14-478:16 (CPS Panel Cross) (May 4, 2021); Tr. at 834:16-835:7 (CPS Panel Cross) (May 5, 2021).</w:t>
      </w:r>
    </w:p>
  </w:footnote>
  <w:footnote w:id="11">
    <w:p w14:paraId="2B21BB90" w14:textId="17E32C6C" w:rsidR="00994173" w:rsidRDefault="00994173">
      <w:pPr>
        <w:pStyle w:val="FootnoteText"/>
      </w:pPr>
      <w:r>
        <w:rPr>
          <w:rStyle w:val="FootnoteReference"/>
        </w:rPr>
        <w:footnoteRef/>
      </w:r>
      <w:r>
        <w:t xml:space="preserve"> </w:t>
      </w:r>
      <w:r w:rsidR="00FC1DF4">
        <w:t>Serene Hills Ex. 1, Direct Testimony of Joan M. Arbuckle at 6 (Arbuckle Direct), Tr. at 874:</w:t>
      </w:r>
      <w:r w:rsidR="00FD1183">
        <w:t>12-23</w:t>
      </w:r>
      <w:r w:rsidR="00FC3B77">
        <w:t xml:space="preserve"> (Dreiss Cross)</w:t>
      </w:r>
      <w:r w:rsidR="00FD1183">
        <w:t xml:space="preserve"> (May 7, 2021).</w:t>
      </w:r>
    </w:p>
  </w:footnote>
  <w:footnote w:id="12">
    <w:p w14:paraId="0A7C6A0B" w14:textId="18E06247" w:rsidR="00C3590B" w:rsidRDefault="00C3590B">
      <w:pPr>
        <w:pStyle w:val="FootnoteText"/>
      </w:pPr>
      <w:r>
        <w:rPr>
          <w:rStyle w:val="FootnoteReference"/>
        </w:rPr>
        <w:footnoteRef/>
      </w:r>
      <w:r>
        <w:t xml:space="preserve"> </w:t>
      </w:r>
      <w:r w:rsidR="00FD1183">
        <w:t>AS Ex. 15, Bexar Response to Anaqua RFI 1-6.</w:t>
      </w:r>
    </w:p>
  </w:footnote>
  <w:footnote w:id="13">
    <w:p w14:paraId="411DF32C" w14:textId="74C3C806" w:rsidR="00353B19" w:rsidRDefault="00353B19">
      <w:pPr>
        <w:pStyle w:val="FootnoteText"/>
      </w:pPr>
      <w:r>
        <w:rPr>
          <w:rStyle w:val="FootnoteReference"/>
        </w:rPr>
        <w:footnoteRef/>
      </w:r>
      <w:r>
        <w:t xml:space="preserve"> </w:t>
      </w:r>
      <w:r w:rsidR="00FD1183">
        <w:t xml:space="preserve">Bexar and </w:t>
      </w:r>
      <w:proofErr w:type="spellStart"/>
      <w:r w:rsidR="00FD1183">
        <w:t>Guajalote</w:t>
      </w:r>
      <w:proofErr w:type="spellEnd"/>
      <w:r w:rsidR="00FD1183">
        <w:t xml:space="preserve"> Initial Brief at 3; BR Ex. 2, Direct Testimony of Michael Bitter at 10:3 (picture) and 5 (acreage) (Michael Bitter Direct); BR Ex. 8, Rebuttal Testimony of Sarah Bitter at 6:16-18 (Sarah Bitter Rebuttal).</w:t>
      </w:r>
    </w:p>
  </w:footnote>
  <w:footnote w:id="14">
    <w:p w14:paraId="589A4855" w14:textId="79A71DCD" w:rsidR="009B6256" w:rsidRDefault="009B6256">
      <w:pPr>
        <w:pStyle w:val="FootnoteText"/>
      </w:pPr>
      <w:r>
        <w:rPr>
          <w:rStyle w:val="FootnoteReference"/>
        </w:rPr>
        <w:footnoteRef/>
      </w:r>
      <w:r>
        <w:t xml:space="preserve"> </w:t>
      </w:r>
      <w:r w:rsidR="00FD1183">
        <w:t xml:space="preserve">CPS Energy Ex. </w:t>
      </w:r>
      <w:r w:rsidR="00AB09DC">
        <w:t>6</w:t>
      </w:r>
      <w:r w:rsidR="00FD1183">
        <w:t xml:space="preserve">, </w:t>
      </w:r>
      <w:r w:rsidR="00AB09DC">
        <w:t xml:space="preserve">Amended Application, </w:t>
      </w:r>
      <w:r w:rsidR="009A3421">
        <w:t xml:space="preserve">Attachment 2, </w:t>
      </w:r>
      <w:r w:rsidR="00AB09DC">
        <w:t>Amended Environmental Assessment at Table 4-23 (Segment 43), Table 4-24 (Segment 45), and Table 4-28 (Segment 44) (Amended Application).</w:t>
      </w:r>
    </w:p>
  </w:footnote>
  <w:footnote w:id="15">
    <w:p w14:paraId="3F1A40ED" w14:textId="31EE734A" w:rsidR="007E347B" w:rsidRDefault="007E347B" w:rsidP="007E347B">
      <w:pPr>
        <w:pStyle w:val="FootnoteText"/>
      </w:pPr>
      <w:r>
        <w:rPr>
          <w:rStyle w:val="FootnoteReference"/>
        </w:rPr>
        <w:footnoteRef/>
      </w:r>
      <w:r>
        <w:t xml:space="preserve"> </w:t>
      </w:r>
      <w:r w:rsidR="00225AF7">
        <w:t xml:space="preserve">Bexar and </w:t>
      </w:r>
      <w:proofErr w:type="spellStart"/>
      <w:r w:rsidR="00225AF7">
        <w:t>Guajalote</w:t>
      </w:r>
      <w:proofErr w:type="spellEnd"/>
      <w:r w:rsidR="00225AF7">
        <w:t xml:space="preserve"> Initial Brief at 6; Tr. </w:t>
      </w:r>
      <w:r w:rsidR="00F749A5">
        <w:t xml:space="preserve">at </w:t>
      </w:r>
      <w:r w:rsidR="00225AF7">
        <w:t>734:17-735:5 (</w:t>
      </w:r>
      <w:r w:rsidR="00455B86">
        <w:t>Michael &amp; Sarah Bitter</w:t>
      </w:r>
      <w:r w:rsidR="00225AF7">
        <w:t xml:space="preserve"> Redirect) (May 5, 2021)</w:t>
      </w:r>
      <w:r>
        <w:t>.</w:t>
      </w:r>
    </w:p>
  </w:footnote>
  <w:footnote w:id="16">
    <w:p w14:paraId="535C152A" w14:textId="7201DA7A" w:rsidR="007E347B" w:rsidRDefault="007E347B" w:rsidP="007E347B">
      <w:pPr>
        <w:pStyle w:val="FootnoteText"/>
      </w:pPr>
      <w:r>
        <w:rPr>
          <w:rStyle w:val="FootnoteReference"/>
        </w:rPr>
        <w:footnoteRef/>
      </w:r>
      <w:r>
        <w:t xml:space="preserve"> </w:t>
      </w:r>
      <w:r w:rsidR="00225AF7">
        <w:t>AS Ex. 8, White Ranch Easement Deed of Trust.</w:t>
      </w:r>
    </w:p>
  </w:footnote>
  <w:footnote w:id="17">
    <w:p w14:paraId="0EA4D23D" w14:textId="2748A372" w:rsidR="007E347B" w:rsidRDefault="007E347B" w:rsidP="007E347B">
      <w:pPr>
        <w:pStyle w:val="FootnoteText"/>
      </w:pPr>
      <w:r>
        <w:rPr>
          <w:rStyle w:val="FootnoteReference"/>
        </w:rPr>
        <w:footnoteRef/>
      </w:r>
      <w:r>
        <w:t xml:space="preserve"> </w:t>
      </w:r>
      <w:r w:rsidR="00994C6C">
        <w:t xml:space="preserve">Bexar and </w:t>
      </w:r>
      <w:proofErr w:type="spellStart"/>
      <w:r w:rsidR="00994C6C">
        <w:t>Guajalote</w:t>
      </w:r>
      <w:proofErr w:type="spellEnd"/>
      <w:r w:rsidR="00994C6C">
        <w:t xml:space="preserve"> Initial Brief at 19; </w:t>
      </w:r>
      <w:r w:rsidR="00994C6C" w:rsidRPr="00994C6C">
        <w:t>BR Ex. 8, at 6:16-18 (Sarah Bitter Rebuttal)</w:t>
      </w:r>
      <w:r w:rsidR="00994C6C">
        <w:t>.</w:t>
      </w:r>
    </w:p>
  </w:footnote>
  <w:footnote w:id="18">
    <w:p w14:paraId="1E196B6F" w14:textId="380BBF81" w:rsidR="00BD32C5" w:rsidRDefault="00BD32C5">
      <w:pPr>
        <w:pStyle w:val="FootnoteText"/>
      </w:pPr>
      <w:r>
        <w:rPr>
          <w:rStyle w:val="FootnoteReference"/>
        </w:rPr>
        <w:footnoteRef/>
      </w:r>
      <w:r>
        <w:t xml:space="preserve"> </w:t>
      </w:r>
      <w:r w:rsidRPr="00CC0747">
        <w:t xml:space="preserve">CPS Ex. </w:t>
      </w:r>
      <w:r w:rsidR="00560578" w:rsidRPr="00CC0747">
        <w:t xml:space="preserve">1, </w:t>
      </w:r>
      <w:r w:rsidR="009A3421" w:rsidRPr="008011CC">
        <w:t>Attachment 1</w:t>
      </w:r>
      <w:r w:rsidR="009A3421">
        <w:t>,</w:t>
      </w:r>
      <w:r w:rsidR="009A3421" w:rsidRPr="008011CC">
        <w:t xml:space="preserve"> </w:t>
      </w:r>
      <w:r w:rsidR="009A3421">
        <w:t xml:space="preserve">Environmental Assessment </w:t>
      </w:r>
      <w:r w:rsidRPr="00CC0747">
        <w:t xml:space="preserve">at </w:t>
      </w:r>
      <w:r w:rsidR="00C93B0B" w:rsidRPr="00CC0747">
        <w:t xml:space="preserve">3-6; </w:t>
      </w:r>
      <w:r w:rsidR="00D44C01" w:rsidRPr="00CC0747">
        <w:t>4-10</w:t>
      </w:r>
      <w:r w:rsidR="00560578" w:rsidRPr="00CC0747">
        <w:t xml:space="preserve"> (Original Application)</w:t>
      </w:r>
      <w:r w:rsidRPr="00CC0747">
        <w:t>.</w:t>
      </w:r>
    </w:p>
  </w:footnote>
  <w:footnote w:id="19">
    <w:p w14:paraId="5F25CE44" w14:textId="0946275E" w:rsidR="009B5248" w:rsidRDefault="009B5248">
      <w:pPr>
        <w:pStyle w:val="FootnoteText"/>
      </w:pPr>
      <w:r>
        <w:rPr>
          <w:rStyle w:val="FootnoteReference"/>
        </w:rPr>
        <w:footnoteRef/>
      </w:r>
      <w:r>
        <w:t xml:space="preserve"> </w:t>
      </w:r>
      <w:proofErr w:type="spellStart"/>
      <w:r w:rsidR="00CF651C" w:rsidRPr="00CF651C">
        <w:t>SHLAA</w:t>
      </w:r>
      <w:proofErr w:type="spellEnd"/>
      <w:r w:rsidR="00CF651C" w:rsidRPr="00CF651C">
        <w:t xml:space="preserve"> Initial Brief at 11.</w:t>
      </w:r>
    </w:p>
  </w:footnote>
  <w:footnote w:id="20">
    <w:p w14:paraId="16AC3FA7" w14:textId="320E8285" w:rsidR="00B93807" w:rsidRDefault="00B93807">
      <w:pPr>
        <w:pStyle w:val="FootnoteText"/>
      </w:pPr>
      <w:r>
        <w:rPr>
          <w:rStyle w:val="FootnoteReference"/>
        </w:rPr>
        <w:footnoteRef/>
      </w:r>
      <w:r>
        <w:t xml:space="preserve"> The lots in The Canyons are smaller, but the segments that are close to The Canyons skirt the neighborhood and do not run through Canyons’ homeowners yards.</w:t>
      </w:r>
    </w:p>
  </w:footnote>
  <w:footnote w:id="21">
    <w:p w14:paraId="3F7A166E" w14:textId="226BA1DD" w:rsidR="00E7543A" w:rsidRDefault="00E7543A">
      <w:pPr>
        <w:pStyle w:val="FootnoteText"/>
      </w:pPr>
      <w:r>
        <w:rPr>
          <w:rStyle w:val="FootnoteReference"/>
        </w:rPr>
        <w:footnoteRef/>
      </w:r>
      <w:r>
        <w:t xml:space="preserve"> C</w:t>
      </w:r>
      <w:r w:rsidR="00FC3B77">
        <w:t>PS Energy Ex. 8, Intervenor Map</w:t>
      </w:r>
      <w:r>
        <w:t>.</w:t>
      </w:r>
    </w:p>
  </w:footnote>
  <w:footnote w:id="22">
    <w:p w14:paraId="3D6E4CCE" w14:textId="354001F4" w:rsidR="003F6528" w:rsidRDefault="003F6528">
      <w:pPr>
        <w:pStyle w:val="FootnoteText"/>
      </w:pPr>
      <w:r>
        <w:rPr>
          <w:rStyle w:val="FootnoteReference"/>
        </w:rPr>
        <w:footnoteRef/>
      </w:r>
      <w:r>
        <w:t xml:space="preserve"> </w:t>
      </w:r>
      <w:r w:rsidR="00FC3B77">
        <w:t>CPS Energy Initial Brief at 19.</w:t>
      </w:r>
    </w:p>
  </w:footnote>
  <w:footnote w:id="23">
    <w:p w14:paraId="76992149" w14:textId="29C6C73D" w:rsidR="00F868A6" w:rsidRDefault="00F868A6">
      <w:pPr>
        <w:pStyle w:val="FootnoteText"/>
      </w:pPr>
      <w:r>
        <w:rPr>
          <w:rStyle w:val="FootnoteReference"/>
        </w:rPr>
        <w:footnoteRef/>
      </w:r>
      <w:r>
        <w:t xml:space="preserve"> </w:t>
      </w:r>
      <w:r w:rsidR="004A3DBE">
        <w:t>Tr. at 396:4-397:14 (CPS Panel Cross) (May 4, 2021)</w:t>
      </w:r>
      <w:r w:rsidR="00284AE8">
        <w:t>.</w:t>
      </w:r>
    </w:p>
  </w:footnote>
  <w:footnote w:id="24">
    <w:p w14:paraId="6936CA35" w14:textId="28FBCD79" w:rsidR="00E5173A" w:rsidRDefault="00E5173A">
      <w:pPr>
        <w:pStyle w:val="FootnoteText"/>
      </w:pPr>
      <w:r>
        <w:rPr>
          <w:rStyle w:val="FootnoteReference"/>
        </w:rPr>
        <w:footnoteRef/>
      </w:r>
      <w:r>
        <w:t xml:space="preserve"> </w:t>
      </w:r>
      <w:proofErr w:type="spellStart"/>
      <w:r w:rsidR="00FE5F29" w:rsidRPr="00CF651C">
        <w:t>SHLAA</w:t>
      </w:r>
      <w:proofErr w:type="spellEnd"/>
      <w:r w:rsidR="00FE5F29" w:rsidRPr="00CF651C">
        <w:t xml:space="preserve"> Initial Brief at 9</w:t>
      </w:r>
      <w:r w:rsidR="004A3DBE" w:rsidRPr="00CF651C">
        <w:t xml:space="preserve">; Clearwater </w:t>
      </w:r>
      <w:r w:rsidR="00FE5F29" w:rsidRPr="00CF651C">
        <w:t xml:space="preserve">Initial Brief at </w:t>
      </w:r>
      <w:r w:rsidR="004A3DBE" w:rsidRPr="00CF651C">
        <w:t>7</w:t>
      </w:r>
      <w:r w:rsidR="00FE5F29" w:rsidRPr="00CF651C">
        <w:t xml:space="preserve"> and</w:t>
      </w:r>
      <w:r w:rsidR="004A3DBE" w:rsidRPr="00CF651C">
        <w:t xml:space="preserve"> 18</w:t>
      </w:r>
      <w:r w:rsidR="00FE5F29" w:rsidRPr="00CF651C">
        <w:t xml:space="preserve">; </w:t>
      </w:r>
      <w:r w:rsidRPr="00CF651C">
        <w:t xml:space="preserve">Bexar </w:t>
      </w:r>
      <w:r w:rsidR="00FE5F29" w:rsidRPr="00CF651C">
        <w:t xml:space="preserve">and </w:t>
      </w:r>
      <w:proofErr w:type="spellStart"/>
      <w:r w:rsidR="00FE5F29" w:rsidRPr="00CF651C">
        <w:t>Guajalote</w:t>
      </w:r>
      <w:proofErr w:type="spellEnd"/>
      <w:r w:rsidR="00FE5F29" w:rsidRPr="00CF651C">
        <w:t xml:space="preserve"> Initial Brief at </w:t>
      </w:r>
      <w:r w:rsidR="004A3DBE" w:rsidRPr="00CF651C">
        <w:t>36</w:t>
      </w:r>
      <w:r w:rsidR="001F09C2" w:rsidRPr="00CF651C">
        <w:t xml:space="preserve"> and</w:t>
      </w:r>
      <w:r w:rsidR="004A3DBE" w:rsidRPr="00CF651C">
        <w:t xml:space="preserve"> 38-39</w:t>
      </w:r>
      <w:r w:rsidRPr="00CF651C">
        <w:t>.</w:t>
      </w:r>
    </w:p>
  </w:footnote>
  <w:footnote w:id="25">
    <w:p w14:paraId="53B85050" w14:textId="59918EB4" w:rsidR="00C757BF" w:rsidRDefault="00C757BF">
      <w:pPr>
        <w:pStyle w:val="FootnoteText"/>
      </w:pPr>
      <w:r w:rsidRPr="00CF651C">
        <w:rPr>
          <w:rStyle w:val="FootnoteReference"/>
        </w:rPr>
        <w:footnoteRef/>
      </w:r>
      <w:r w:rsidRPr="00CF651C">
        <w:t xml:space="preserve"> </w:t>
      </w:r>
      <w:r w:rsidR="00CF651C" w:rsidRPr="00CF651C">
        <w:t>CPS</w:t>
      </w:r>
      <w:r w:rsidR="00CF651C">
        <w:t xml:space="preserve"> Energy Ex. 6, </w:t>
      </w:r>
      <w:r w:rsidR="009A3421">
        <w:t xml:space="preserve">Attachment 2, </w:t>
      </w:r>
      <w:r w:rsidR="00CF651C">
        <w:t>Amended Environmental Assessment at Table 4-31, Map No. 81 (Amended Application).</w:t>
      </w:r>
    </w:p>
  </w:footnote>
  <w:footnote w:id="26">
    <w:p w14:paraId="052E6EE7" w14:textId="33FF306E" w:rsidR="00476FA0" w:rsidRDefault="00476FA0">
      <w:pPr>
        <w:pStyle w:val="FootnoteText"/>
      </w:pPr>
      <w:r>
        <w:rPr>
          <w:rStyle w:val="FootnoteReference"/>
        </w:rPr>
        <w:footnoteRef/>
      </w:r>
      <w:r>
        <w:t xml:space="preserve"> The owners of habitable structure number 198</w:t>
      </w:r>
      <w:r w:rsidR="000F647F">
        <w:t>, which is on parcel No. F-129</w:t>
      </w:r>
      <w:r>
        <w:t xml:space="preserve"> are Assem and Amanda </w:t>
      </w:r>
      <w:proofErr w:type="spellStart"/>
      <w:r>
        <w:t>Sherkawy</w:t>
      </w:r>
      <w:proofErr w:type="spellEnd"/>
      <w:r w:rsidR="000F647F">
        <w:t xml:space="preserve">.  </w:t>
      </w:r>
      <w:r w:rsidR="009A45EE">
        <w:t>CPS Energy Ex. 1, Attachment 8 at 5 (Original Application)</w:t>
      </w:r>
      <w:r w:rsidR="000F647F">
        <w:t>.</w:t>
      </w:r>
    </w:p>
  </w:footnote>
  <w:footnote w:id="27">
    <w:p w14:paraId="36F12D9E" w14:textId="05FFFD39" w:rsidR="004C5514" w:rsidRPr="00CF651C" w:rsidRDefault="004C5514">
      <w:pPr>
        <w:pStyle w:val="FootnoteText"/>
      </w:pPr>
      <w:r>
        <w:rPr>
          <w:rStyle w:val="FootnoteReference"/>
        </w:rPr>
        <w:footnoteRef/>
      </w:r>
      <w:r>
        <w:t xml:space="preserve"> </w:t>
      </w:r>
      <w:r w:rsidR="00CF651C" w:rsidRPr="00CF651C">
        <w:t xml:space="preserve">Clearwater Initial Brief at 15; </w:t>
      </w:r>
      <w:proofErr w:type="spellStart"/>
      <w:r w:rsidR="00CF651C" w:rsidRPr="00CF651C">
        <w:t>SHLAA</w:t>
      </w:r>
      <w:proofErr w:type="spellEnd"/>
      <w:r w:rsidR="00CF651C" w:rsidRPr="00CF651C">
        <w:t xml:space="preserve"> Initial Brief at 3-4; Bexar and </w:t>
      </w:r>
      <w:proofErr w:type="spellStart"/>
      <w:r w:rsidR="00CF651C" w:rsidRPr="00CF651C">
        <w:t>Guajalote</w:t>
      </w:r>
      <w:proofErr w:type="spellEnd"/>
      <w:r w:rsidR="00CF651C" w:rsidRPr="00CF651C">
        <w:t xml:space="preserve"> Initial Brief at 17.</w:t>
      </w:r>
    </w:p>
  </w:footnote>
  <w:footnote w:id="28">
    <w:p w14:paraId="1EDB650A" w14:textId="0DD837FE" w:rsidR="00AD3BEB" w:rsidRDefault="00AD3BEB">
      <w:pPr>
        <w:pStyle w:val="FootnoteText"/>
      </w:pPr>
      <w:r>
        <w:rPr>
          <w:rStyle w:val="FootnoteReference"/>
        </w:rPr>
        <w:footnoteRef/>
      </w:r>
      <w:r>
        <w:t xml:space="preserve"> </w:t>
      </w:r>
      <w:r w:rsidR="00AF3466" w:rsidRPr="00765D4A">
        <w:t>Tr.</w:t>
      </w:r>
      <w:r w:rsidR="00AF3466">
        <w:t xml:space="preserve"> at </w:t>
      </w:r>
      <w:r w:rsidR="00AF3466" w:rsidRPr="00765D4A">
        <w:t>877:21-878:2</w:t>
      </w:r>
      <w:r w:rsidR="00AF3466">
        <w:t xml:space="preserve"> (Dreiss Cross) (May 7, 2021).</w:t>
      </w:r>
    </w:p>
  </w:footnote>
  <w:footnote w:id="29">
    <w:p w14:paraId="4ABF21E1" w14:textId="6FA04C0D" w:rsidR="00500181" w:rsidRDefault="00500181">
      <w:pPr>
        <w:pStyle w:val="FootnoteText"/>
      </w:pPr>
      <w:r>
        <w:rPr>
          <w:rStyle w:val="FootnoteReference"/>
        </w:rPr>
        <w:footnoteRef/>
      </w:r>
      <w:r>
        <w:t xml:space="preserve"> </w:t>
      </w:r>
      <w:proofErr w:type="spellStart"/>
      <w:r w:rsidR="00AF3466">
        <w:t>Dreico</w:t>
      </w:r>
      <w:proofErr w:type="spellEnd"/>
      <w:r w:rsidR="00AF3466">
        <w:t xml:space="preserve"> Companies Ex. 1, Direct Testimony of Tom Dreiss at </w:t>
      </w:r>
      <w:r>
        <w:t>Ex</w:t>
      </w:r>
      <w:r w:rsidR="00AF3466">
        <w:t>hibit</w:t>
      </w:r>
      <w:r>
        <w:t>. 1</w:t>
      </w:r>
      <w:r w:rsidR="00AF3466">
        <w:t xml:space="preserve"> (Dreiss Direct)</w:t>
      </w:r>
      <w:r>
        <w:t xml:space="preserve">; </w:t>
      </w:r>
      <w:r w:rsidRPr="001E28BF">
        <w:rPr>
          <w:i/>
          <w:iCs/>
        </w:rPr>
        <w:t>see also</w:t>
      </w:r>
      <w:r>
        <w:t xml:space="preserve"> Anaqua Springs HOA initial brief at </w:t>
      </w:r>
      <w:r w:rsidR="00FA3879">
        <w:t xml:space="preserve">17 </w:t>
      </w:r>
      <w:r>
        <w:t>(outlining contract terms)</w:t>
      </w:r>
      <w:r w:rsidR="0061281F">
        <w:t>.</w:t>
      </w:r>
    </w:p>
  </w:footnote>
  <w:footnote w:id="30">
    <w:p w14:paraId="3DC7AC91" w14:textId="77E334A0" w:rsidR="001672A8" w:rsidRDefault="001672A8">
      <w:pPr>
        <w:pStyle w:val="FootnoteText"/>
      </w:pPr>
      <w:r>
        <w:rPr>
          <w:rStyle w:val="FootnoteReference"/>
        </w:rPr>
        <w:footnoteRef/>
      </w:r>
      <w:r>
        <w:t xml:space="preserve"> </w:t>
      </w:r>
      <w:proofErr w:type="spellStart"/>
      <w:r w:rsidRPr="009A45EE">
        <w:t>Dreico</w:t>
      </w:r>
      <w:proofErr w:type="spellEnd"/>
      <w:r w:rsidRPr="009A45EE">
        <w:t xml:space="preserve"> Companies’ </w:t>
      </w:r>
      <w:r w:rsidR="009A45EE" w:rsidRPr="009A45EE">
        <w:t>Ex.</w:t>
      </w:r>
      <w:r w:rsidR="002758FC">
        <w:t xml:space="preserve"> </w:t>
      </w:r>
      <w:r w:rsidR="009A45EE" w:rsidRPr="009A45EE">
        <w:t>1 at 5-6 (</w:t>
      </w:r>
      <w:r w:rsidRPr="009A45EE">
        <w:t>Dreiss Dir</w:t>
      </w:r>
      <w:r w:rsidR="009A45EE" w:rsidRPr="009A45EE">
        <w:t>ect)</w:t>
      </w:r>
      <w:r w:rsidRPr="009A45EE">
        <w:t>.</w:t>
      </w:r>
    </w:p>
  </w:footnote>
  <w:footnote w:id="31">
    <w:p w14:paraId="6BD581DA" w14:textId="7D5F4BF0" w:rsidR="00FD413A" w:rsidRDefault="00FD413A">
      <w:pPr>
        <w:pStyle w:val="FootnoteText"/>
      </w:pPr>
      <w:r>
        <w:rPr>
          <w:rStyle w:val="FootnoteReference"/>
        </w:rPr>
        <w:footnoteRef/>
      </w:r>
      <w:r>
        <w:t xml:space="preserve"> </w:t>
      </w:r>
      <w:r w:rsidRPr="00FB6F67">
        <w:rPr>
          <w:i/>
          <w:iCs/>
        </w:rPr>
        <w:t>See, e.g</w:t>
      </w:r>
      <w:r>
        <w:t xml:space="preserve">. </w:t>
      </w:r>
      <w:r w:rsidRPr="00FA3879">
        <w:rPr>
          <w:i/>
          <w:iCs/>
        </w:rPr>
        <w:t>Application of LCRA</w:t>
      </w:r>
      <w:r w:rsidR="00FA3879" w:rsidRPr="00FA3879">
        <w:rPr>
          <w:i/>
          <w:iCs/>
        </w:rPr>
        <w:t xml:space="preserve"> </w:t>
      </w:r>
      <w:r w:rsidRPr="00FA3879">
        <w:rPr>
          <w:i/>
          <w:iCs/>
        </w:rPr>
        <w:t xml:space="preserve">Transmission Services Corporation to Amend its Certificate of </w:t>
      </w:r>
      <w:r w:rsidR="009A45EE" w:rsidRPr="00FA3879">
        <w:rPr>
          <w:i/>
          <w:iCs/>
        </w:rPr>
        <w:t>Convenience</w:t>
      </w:r>
      <w:r w:rsidRPr="00FA3879">
        <w:rPr>
          <w:i/>
          <w:iCs/>
        </w:rPr>
        <w:t xml:space="preserve"> and Necessity for the </w:t>
      </w:r>
      <w:r w:rsidR="00FA3879" w:rsidRPr="00FA3879">
        <w:rPr>
          <w:i/>
          <w:iCs/>
        </w:rPr>
        <w:t>Proposed</w:t>
      </w:r>
      <w:r w:rsidRPr="00FA3879">
        <w:rPr>
          <w:i/>
          <w:iCs/>
        </w:rPr>
        <w:t xml:space="preserve"> McCamey D to Kendall to Gillespie 345-kV </w:t>
      </w:r>
      <w:proofErr w:type="spellStart"/>
      <w:r w:rsidRPr="00FA3879">
        <w:rPr>
          <w:i/>
          <w:iCs/>
        </w:rPr>
        <w:t>CREZ</w:t>
      </w:r>
      <w:proofErr w:type="spellEnd"/>
      <w:r w:rsidRPr="00FA3879">
        <w:rPr>
          <w:i/>
          <w:iCs/>
        </w:rPr>
        <w:t xml:space="preserve"> </w:t>
      </w:r>
      <w:r w:rsidR="00FA3879" w:rsidRPr="00FA3879">
        <w:rPr>
          <w:i/>
          <w:iCs/>
        </w:rPr>
        <w:t>Transmission</w:t>
      </w:r>
      <w:r w:rsidRPr="00FA3879">
        <w:rPr>
          <w:i/>
          <w:iCs/>
        </w:rPr>
        <w:t xml:space="preserve"> Line in Schleicher, Sutton, Menard, Kimble, Mason, Gillespie, Kerr, and Kendall Counties,</w:t>
      </w:r>
      <w:r>
        <w:t xml:space="preserve"> </w:t>
      </w:r>
      <w:r w:rsidR="00FA3879">
        <w:t xml:space="preserve">PUC Docket No. 38354, </w:t>
      </w:r>
      <w:r>
        <w:t xml:space="preserve">AC Ranches’ Initial Brief at </w:t>
      </w:r>
      <w:r w:rsidR="00164072">
        <w:t>4</w:t>
      </w:r>
      <w:r w:rsidR="00FA3879">
        <w:t xml:space="preserve"> (Nov. 15, 2010)</w:t>
      </w:r>
      <w:r w:rsidR="00414AD0">
        <w:t xml:space="preserve"> (AC Ranches wanted the transmission line on its property)</w:t>
      </w:r>
      <w:r>
        <w:t>.</w:t>
      </w:r>
    </w:p>
  </w:footnote>
  <w:footnote w:id="32">
    <w:p w14:paraId="4956804A" w14:textId="2D8301A7" w:rsidR="000D7901" w:rsidRDefault="000D7901">
      <w:pPr>
        <w:pStyle w:val="FootnoteText"/>
      </w:pPr>
      <w:r>
        <w:rPr>
          <w:rStyle w:val="FootnoteReference"/>
        </w:rPr>
        <w:footnoteRef/>
      </w:r>
      <w:r>
        <w:t xml:space="preserve"> </w:t>
      </w:r>
      <w:r w:rsidR="00A60586">
        <w:t>CPS Energy Initial Brief at 19.</w:t>
      </w:r>
    </w:p>
  </w:footnote>
  <w:footnote w:id="33">
    <w:p w14:paraId="0B2108EF" w14:textId="04FCF73B" w:rsidR="001367C3" w:rsidRDefault="001367C3">
      <w:pPr>
        <w:pStyle w:val="FootnoteText"/>
      </w:pPr>
      <w:r w:rsidRPr="009A45EE">
        <w:rPr>
          <w:rStyle w:val="FootnoteReference"/>
        </w:rPr>
        <w:footnoteRef/>
      </w:r>
      <w:r w:rsidRPr="009A45EE">
        <w:t xml:space="preserve"> </w:t>
      </w:r>
      <w:proofErr w:type="spellStart"/>
      <w:r w:rsidR="00755805" w:rsidRPr="009A45EE">
        <w:t>Dreico</w:t>
      </w:r>
      <w:proofErr w:type="spellEnd"/>
      <w:r w:rsidR="00755805" w:rsidRPr="009A45EE">
        <w:t xml:space="preserve"> </w:t>
      </w:r>
      <w:r w:rsidR="009A45EE" w:rsidRPr="009A45EE">
        <w:t xml:space="preserve">Companies </w:t>
      </w:r>
      <w:r w:rsidR="00755805" w:rsidRPr="009A45EE">
        <w:t>Ex. 1 at Ex</w:t>
      </w:r>
      <w:r w:rsidR="009A45EE" w:rsidRPr="009A45EE">
        <w:t>hibit</w:t>
      </w:r>
      <w:r w:rsidR="00755805" w:rsidRPr="009A45EE">
        <w:t xml:space="preserve"> 1 at 1, Term</w:t>
      </w:r>
      <w:r w:rsidR="00977A6F" w:rsidRPr="009A45EE">
        <w:t>s</w:t>
      </w:r>
      <w:r w:rsidR="00755805" w:rsidRPr="009A45EE">
        <w:t xml:space="preserve"> 2</w:t>
      </w:r>
      <w:r w:rsidR="00977A6F" w:rsidRPr="009A45EE">
        <w:t xml:space="preserve"> and 3</w:t>
      </w:r>
      <w:r w:rsidR="009A45EE" w:rsidRPr="009A45EE">
        <w:t xml:space="preserve"> (Dreiss Direct)</w:t>
      </w:r>
      <w:r w:rsidR="00755805" w:rsidRPr="009A45EE">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20036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76D8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04AD4D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AACE9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46C40A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0808D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B94999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586EF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F6C42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FEC6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997184"/>
    <w:multiLevelType w:val="hybridMultilevel"/>
    <w:tmpl w:val="62F82D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FE0451D"/>
    <w:multiLevelType w:val="hybridMultilevel"/>
    <w:tmpl w:val="127A4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3367A0"/>
    <w:multiLevelType w:val="hybridMultilevel"/>
    <w:tmpl w:val="2B861190"/>
    <w:lvl w:ilvl="0" w:tplc="56D45AB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954EEE"/>
    <w:multiLevelType w:val="hybridMultilevel"/>
    <w:tmpl w:val="F508D678"/>
    <w:lvl w:ilvl="0" w:tplc="A65EF5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E10427"/>
    <w:multiLevelType w:val="multilevel"/>
    <w:tmpl w:val="1CECE432"/>
    <w:lvl w:ilvl="0">
      <w:start w:val="1"/>
      <w:numFmt w:val="upperRoman"/>
      <w:pStyle w:val="CROutline1"/>
      <w:lvlText w:val="%1."/>
      <w:lvlJc w:val="left"/>
      <w:pPr>
        <w:tabs>
          <w:tab w:val="num" w:pos="1152"/>
        </w:tabs>
        <w:ind w:left="1152" w:hanging="720"/>
      </w:pPr>
      <w:rPr>
        <w:rFonts w:hint="default"/>
        <w:b/>
        <w:bCs w: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lvlText w:val="(%5)"/>
      <w:lvlJc w:val="left"/>
      <w:pPr>
        <w:tabs>
          <w:tab w:val="num" w:pos="1152"/>
        </w:tabs>
        <w:ind w:left="4032" w:hanging="720"/>
      </w:pPr>
      <w:rPr>
        <w:rFonts w:hint="default"/>
      </w:rPr>
    </w:lvl>
    <w:lvl w:ilvl="5">
      <w:start w:val="1"/>
      <w:numFmt w:val="lowerLetter"/>
      <w:lvlText w:val="(%6)"/>
      <w:lvlJc w:val="left"/>
      <w:pPr>
        <w:tabs>
          <w:tab w:val="num" w:pos="1152"/>
        </w:tabs>
        <w:ind w:left="4752" w:hanging="720"/>
      </w:pPr>
      <w:rPr>
        <w:rFonts w:hint="default"/>
      </w:rPr>
    </w:lvl>
    <w:lvl w:ilvl="6">
      <w:start w:val="1"/>
      <w:numFmt w:val="lowerRoman"/>
      <w:lvlText w:val="%7)"/>
      <w:lvlJc w:val="left"/>
      <w:pPr>
        <w:tabs>
          <w:tab w:val="num" w:pos="1152"/>
        </w:tabs>
        <w:ind w:left="5472" w:hanging="720"/>
      </w:pPr>
      <w:rPr>
        <w:rFonts w:hint="default"/>
      </w:rPr>
    </w:lvl>
    <w:lvl w:ilvl="7">
      <w:start w:val="1"/>
      <w:numFmt w:val="lowerLetter"/>
      <w:lvlText w:val="%8)"/>
      <w:lvlJc w:val="left"/>
      <w:pPr>
        <w:tabs>
          <w:tab w:val="num" w:pos="1152"/>
        </w:tabs>
        <w:ind w:left="6192" w:hanging="720"/>
      </w:pPr>
      <w:rPr>
        <w:rFonts w:hint="default"/>
      </w:rPr>
    </w:lvl>
    <w:lvl w:ilvl="8">
      <w:start w:val="1"/>
      <w:numFmt w:val="decimal"/>
      <w:lvlText w:val="%9)"/>
      <w:lvlJc w:val="left"/>
      <w:pPr>
        <w:tabs>
          <w:tab w:val="num" w:pos="1152"/>
        </w:tabs>
        <w:ind w:left="6912" w:hanging="720"/>
      </w:pPr>
      <w:rPr>
        <w:rFonts w:hint="default"/>
      </w:rPr>
    </w:lvl>
  </w:abstractNum>
  <w:abstractNum w:abstractNumId="15" w15:restartNumberingAfterBreak="0">
    <w:nsid w:val="553A5AC8"/>
    <w:multiLevelType w:val="hybridMultilevel"/>
    <w:tmpl w:val="485A1F82"/>
    <w:lvl w:ilvl="0" w:tplc="B73E6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BE34D6"/>
    <w:multiLevelType w:val="hybridMultilevel"/>
    <w:tmpl w:val="5A947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3"/>
  </w:num>
  <w:num w:numId="14">
    <w:abstractNumId w:val="11"/>
  </w:num>
  <w:num w:numId="15">
    <w:abstractNumId w:val="16"/>
  </w:num>
  <w:num w:numId="16">
    <w:abstractNumId w:val="14"/>
  </w:num>
  <w:num w:numId="17">
    <w:abstractNumId w:val="14"/>
  </w:num>
  <w:num w:numId="18">
    <w:abstractNumId w:val="14"/>
  </w:num>
  <w:num w:numId="19">
    <w:abstractNumId w:val="1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19E"/>
    <w:rsid w:val="00000B35"/>
    <w:rsid w:val="00005E63"/>
    <w:rsid w:val="00011F9E"/>
    <w:rsid w:val="000125F2"/>
    <w:rsid w:val="0001451F"/>
    <w:rsid w:val="00015431"/>
    <w:rsid w:val="00015ED1"/>
    <w:rsid w:val="00022E09"/>
    <w:rsid w:val="00023758"/>
    <w:rsid w:val="00023A6C"/>
    <w:rsid w:val="000274CD"/>
    <w:rsid w:val="00031A66"/>
    <w:rsid w:val="000331EC"/>
    <w:rsid w:val="000332E0"/>
    <w:rsid w:val="000373BA"/>
    <w:rsid w:val="000412C5"/>
    <w:rsid w:val="00042E70"/>
    <w:rsid w:val="000432A3"/>
    <w:rsid w:val="00045B87"/>
    <w:rsid w:val="00046757"/>
    <w:rsid w:val="00046C57"/>
    <w:rsid w:val="0004720B"/>
    <w:rsid w:val="0005240A"/>
    <w:rsid w:val="00057A53"/>
    <w:rsid w:val="00062D41"/>
    <w:rsid w:val="000658A1"/>
    <w:rsid w:val="00066940"/>
    <w:rsid w:val="00070102"/>
    <w:rsid w:val="00070487"/>
    <w:rsid w:val="00073D7E"/>
    <w:rsid w:val="00076C58"/>
    <w:rsid w:val="00081D50"/>
    <w:rsid w:val="00081F8B"/>
    <w:rsid w:val="00087E65"/>
    <w:rsid w:val="00096F0E"/>
    <w:rsid w:val="000A42E5"/>
    <w:rsid w:val="000B12D9"/>
    <w:rsid w:val="000B336E"/>
    <w:rsid w:val="000B6023"/>
    <w:rsid w:val="000C23A7"/>
    <w:rsid w:val="000C7A01"/>
    <w:rsid w:val="000C7E3F"/>
    <w:rsid w:val="000D2D3F"/>
    <w:rsid w:val="000D39F5"/>
    <w:rsid w:val="000D5835"/>
    <w:rsid w:val="000D6919"/>
    <w:rsid w:val="000D706B"/>
    <w:rsid w:val="000D7901"/>
    <w:rsid w:val="000D7FA8"/>
    <w:rsid w:val="000E0611"/>
    <w:rsid w:val="000E17DD"/>
    <w:rsid w:val="000E3EFE"/>
    <w:rsid w:val="000F647F"/>
    <w:rsid w:val="0010231C"/>
    <w:rsid w:val="0010399B"/>
    <w:rsid w:val="00110F86"/>
    <w:rsid w:val="00113B88"/>
    <w:rsid w:val="00115801"/>
    <w:rsid w:val="001202EC"/>
    <w:rsid w:val="00120D6E"/>
    <w:rsid w:val="00120D8F"/>
    <w:rsid w:val="00130B52"/>
    <w:rsid w:val="00130BDC"/>
    <w:rsid w:val="00131806"/>
    <w:rsid w:val="00133DB0"/>
    <w:rsid w:val="00134B94"/>
    <w:rsid w:val="001367C3"/>
    <w:rsid w:val="00137E66"/>
    <w:rsid w:val="00143548"/>
    <w:rsid w:val="0014581F"/>
    <w:rsid w:val="00146AE8"/>
    <w:rsid w:val="00152806"/>
    <w:rsid w:val="0015526E"/>
    <w:rsid w:val="001614E3"/>
    <w:rsid w:val="00161C80"/>
    <w:rsid w:val="00163C86"/>
    <w:rsid w:val="00164072"/>
    <w:rsid w:val="001649A7"/>
    <w:rsid w:val="001672A8"/>
    <w:rsid w:val="00175B10"/>
    <w:rsid w:val="001808E6"/>
    <w:rsid w:val="00181B84"/>
    <w:rsid w:val="001825A0"/>
    <w:rsid w:val="00182A45"/>
    <w:rsid w:val="00184B3D"/>
    <w:rsid w:val="00185225"/>
    <w:rsid w:val="00185FBA"/>
    <w:rsid w:val="001909E2"/>
    <w:rsid w:val="00191924"/>
    <w:rsid w:val="001935A7"/>
    <w:rsid w:val="00195F40"/>
    <w:rsid w:val="001968C8"/>
    <w:rsid w:val="00197E13"/>
    <w:rsid w:val="001A1C70"/>
    <w:rsid w:val="001A1F7C"/>
    <w:rsid w:val="001A3AF6"/>
    <w:rsid w:val="001A6D32"/>
    <w:rsid w:val="001B3E24"/>
    <w:rsid w:val="001B6C47"/>
    <w:rsid w:val="001B6D03"/>
    <w:rsid w:val="001B7E60"/>
    <w:rsid w:val="001C6763"/>
    <w:rsid w:val="001D0867"/>
    <w:rsid w:val="001D48DA"/>
    <w:rsid w:val="001E28BF"/>
    <w:rsid w:val="001E73F0"/>
    <w:rsid w:val="001E7CAB"/>
    <w:rsid w:val="001F09C2"/>
    <w:rsid w:val="001F22F2"/>
    <w:rsid w:val="001F51A1"/>
    <w:rsid w:val="00201C21"/>
    <w:rsid w:val="00204882"/>
    <w:rsid w:val="0020694A"/>
    <w:rsid w:val="0021674E"/>
    <w:rsid w:val="00220FE5"/>
    <w:rsid w:val="00222058"/>
    <w:rsid w:val="00225747"/>
    <w:rsid w:val="00225AF7"/>
    <w:rsid w:val="00247FF7"/>
    <w:rsid w:val="00251BB0"/>
    <w:rsid w:val="00253BAF"/>
    <w:rsid w:val="00255952"/>
    <w:rsid w:val="00256417"/>
    <w:rsid w:val="0026341C"/>
    <w:rsid w:val="0026462F"/>
    <w:rsid w:val="00265039"/>
    <w:rsid w:val="00274685"/>
    <w:rsid w:val="002758FC"/>
    <w:rsid w:val="00277629"/>
    <w:rsid w:val="00284AE8"/>
    <w:rsid w:val="00284CF9"/>
    <w:rsid w:val="00285E80"/>
    <w:rsid w:val="0029219B"/>
    <w:rsid w:val="002A1BCA"/>
    <w:rsid w:val="002A3A3B"/>
    <w:rsid w:val="002A4B27"/>
    <w:rsid w:val="002B3A21"/>
    <w:rsid w:val="002B3C08"/>
    <w:rsid w:val="002C07FE"/>
    <w:rsid w:val="002C0A6A"/>
    <w:rsid w:val="002C14A6"/>
    <w:rsid w:val="002C47CE"/>
    <w:rsid w:val="002D12DC"/>
    <w:rsid w:val="002D142C"/>
    <w:rsid w:val="002D43A8"/>
    <w:rsid w:val="002D54A7"/>
    <w:rsid w:val="002D7B14"/>
    <w:rsid w:val="002E0CDC"/>
    <w:rsid w:val="002E17D0"/>
    <w:rsid w:val="002E2ED1"/>
    <w:rsid w:val="002E4724"/>
    <w:rsid w:val="002E6002"/>
    <w:rsid w:val="002E6610"/>
    <w:rsid w:val="00302D07"/>
    <w:rsid w:val="00304537"/>
    <w:rsid w:val="00304EEC"/>
    <w:rsid w:val="003073CC"/>
    <w:rsid w:val="003172DC"/>
    <w:rsid w:val="00324BA3"/>
    <w:rsid w:val="00327B86"/>
    <w:rsid w:val="00333871"/>
    <w:rsid w:val="00334552"/>
    <w:rsid w:val="00337A55"/>
    <w:rsid w:val="00340A2C"/>
    <w:rsid w:val="0035138B"/>
    <w:rsid w:val="0035394E"/>
    <w:rsid w:val="00353B19"/>
    <w:rsid w:val="00354A0F"/>
    <w:rsid w:val="00360A9D"/>
    <w:rsid w:val="003624AD"/>
    <w:rsid w:val="00365BDE"/>
    <w:rsid w:val="00367B08"/>
    <w:rsid w:val="00370CEB"/>
    <w:rsid w:val="00376E4D"/>
    <w:rsid w:val="00377499"/>
    <w:rsid w:val="003814A1"/>
    <w:rsid w:val="00381D71"/>
    <w:rsid w:val="003820AF"/>
    <w:rsid w:val="00382CB4"/>
    <w:rsid w:val="0038369B"/>
    <w:rsid w:val="00385C10"/>
    <w:rsid w:val="00390137"/>
    <w:rsid w:val="00391661"/>
    <w:rsid w:val="0039435D"/>
    <w:rsid w:val="00396663"/>
    <w:rsid w:val="003A0943"/>
    <w:rsid w:val="003A1628"/>
    <w:rsid w:val="003A17EF"/>
    <w:rsid w:val="003A333F"/>
    <w:rsid w:val="003A3D43"/>
    <w:rsid w:val="003A5E85"/>
    <w:rsid w:val="003A65A3"/>
    <w:rsid w:val="003A730D"/>
    <w:rsid w:val="003A7EAA"/>
    <w:rsid w:val="003B041C"/>
    <w:rsid w:val="003B3577"/>
    <w:rsid w:val="003B6644"/>
    <w:rsid w:val="003C3B5B"/>
    <w:rsid w:val="003C502E"/>
    <w:rsid w:val="003D1585"/>
    <w:rsid w:val="003E2EC4"/>
    <w:rsid w:val="003E3D32"/>
    <w:rsid w:val="003E548E"/>
    <w:rsid w:val="003E6F08"/>
    <w:rsid w:val="003E758C"/>
    <w:rsid w:val="003E7E1A"/>
    <w:rsid w:val="003F2287"/>
    <w:rsid w:val="003F5298"/>
    <w:rsid w:val="003F6528"/>
    <w:rsid w:val="004029DB"/>
    <w:rsid w:val="00404C3D"/>
    <w:rsid w:val="004122C9"/>
    <w:rsid w:val="00412F5F"/>
    <w:rsid w:val="00414AD0"/>
    <w:rsid w:val="00414D1D"/>
    <w:rsid w:val="00416BD7"/>
    <w:rsid w:val="00420709"/>
    <w:rsid w:val="004209FC"/>
    <w:rsid w:val="00422125"/>
    <w:rsid w:val="00422211"/>
    <w:rsid w:val="004244FA"/>
    <w:rsid w:val="0042599B"/>
    <w:rsid w:val="004311F0"/>
    <w:rsid w:val="00436F57"/>
    <w:rsid w:val="00437B83"/>
    <w:rsid w:val="00446FEC"/>
    <w:rsid w:val="00447F8F"/>
    <w:rsid w:val="00450ADB"/>
    <w:rsid w:val="00452936"/>
    <w:rsid w:val="00454DA5"/>
    <w:rsid w:val="00455B86"/>
    <w:rsid w:val="00455FA1"/>
    <w:rsid w:val="00456D6C"/>
    <w:rsid w:val="00467B1E"/>
    <w:rsid w:val="004725BA"/>
    <w:rsid w:val="00474BE2"/>
    <w:rsid w:val="00475EFF"/>
    <w:rsid w:val="00476FA0"/>
    <w:rsid w:val="00480DCE"/>
    <w:rsid w:val="00485186"/>
    <w:rsid w:val="0048607F"/>
    <w:rsid w:val="00490887"/>
    <w:rsid w:val="004916A7"/>
    <w:rsid w:val="0049225C"/>
    <w:rsid w:val="004A034D"/>
    <w:rsid w:val="004A1B34"/>
    <w:rsid w:val="004A3AEB"/>
    <w:rsid w:val="004A3DBE"/>
    <w:rsid w:val="004A46D8"/>
    <w:rsid w:val="004A633B"/>
    <w:rsid w:val="004A6728"/>
    <w:rsid w:val="004B03C9"/>
    <w:rsid w:val="004B332F"/>
    <w:rsid w:val="004B78E3"/>
    <w:rsid w:val="004C4306"/>
    <w:rsid w:val="004C5459"/>
    <w:rsid w:val="004C5514"/>
    <w:rsid w:val="004D0E40"/>
    <w:rsid w:val="004D319E"/>
    <w:rsid w:val="004D5E52"/>
    <w:rsid w:val="004E01DE"/>
    <w:rsid w:val="004E35FD"/>
    <w:rsid w:val="004E63B5"/>
    <w:rsid w:val="004F08F9"/>
    <w:rsid w:val="004F237D"/>
    <w:rsid w:val="004F71DA"/>
    <w:rsid w:val="00500181"/>
    <w:rsid w:val="00507A39"/>
    <w:rsid w:val="00507BC6"/>
    <w:rsid w:val="005135C1"/>
    <w:rsid w:val="005144C2"/>
    <w:rsid w:val="00515CD8"/>
    <w:rsid w:val="005161AF"/>
    <w:rsid w:val="00516DD6"/>
    <w:rsid w:val="005241F0"/>
    <w:rsid w:val="005256E4"/>
    <w:rsid w:val="0052713B"/>
    <w:rsid w:val="0053065A"/>
    <w:rsid w:val="00531070"/>
    <w:rsid w:val="00531666"/>
    <w:rsid w:val="00543B3C"/>
    <w:rsid w:val="00543DD9"/>
    <w:rsid w:val="00560578"/>
    <w:rsid w:val="005611E8"/>
    <w:rsid w:val="005635B4"/>
    <w:rsid w:val="00564C61"/>
    <w:rsid w:val="00572EB5"/>
    <w:rsid w:val="00574209"/>
    <w:rsid w:val="005756D2"/>
    <w:rsid w:val="0058051E"/>
    <w:rsid w:val="00580A29"/>
    <w:rsid w:val="00583171"/>
    <w:rsid w:val="00584CB0"/>
    <w:rsid w:val="0058500E"/>
    <w:rsid w:val="00591C02"/>
    <w:rsid w:val="005970C1"/>
    <w:rsid w:val="00597375"/>
    <w:rsid w:val="00597A83"/>
    <w:rsid w:val="005A69A2"/>
    <w:rsid w:val="005B0B26"/>
    <w:rsid w:val="005B28E2"/>
    <w:rsid w:val="005C5490"/>
    <w:rsid w:val="005D2563"/>
    <w:rsid w:val="005D366F"/>
    <w:rsid w:val="005D38DF"/>
    <w:rsid w:val="005D6FC1"/>
    <w:rsid w:val="005D70D1"/>
    <w:rsid w:val="005E4E5C"/>
    <w:rsid w:val="005E6DD3"/>
    <w:rsid w:val="005F04AA"/>
    <w:rsid w:val="005F20A3"/>
    <w:rsid w:val="005F2557"/>
    <w:rsid w:val="005F26DF"/>
    <w:rsid w:val="005F3EB7"/>
    <w:rsid w:val="005F4019"/>
    <w:rsid w:val="005F4027"/>
    <w:rsid w:val="005F5626"/>
    <w:rsid w:val="005F65A0"/>
    <w:rsid w:val="005F6D6D"/>
    <w:rsid w:val="00602FE5"/>
    <w:rsid w:val="006042CA"/>
    <w:rsid w:val="006116F4"/>
    <w:rsid w:val="0061281F"/>
    <w:rsid w:val="0061287F"/>
    <w:rsid w:val="00613C07"/>
    <w:rsid w:val="006151E0"/>
    <w:rsid w:val="00615457"/>
    <w:rsid w:val="0061619E"/>
    <w:rsid w:val="00621A01"/>
    <w:rsid w:val="00623860"/>
    <w:rsid w:val="00624634"/>
    <w:rsid w:val="00625164"/>
    <w:rsid w:val="00627BA3"/>
    <w:rsid w:val="00631588"/>
    <w:rsid w:val="00640B67"/>
    <w:rsid w:val="00642031"/>
    <w:rsid w:val="00644A73"/>
    <w:rsid w:val="00645E68"/>
    <w:rsid w:val="006507F0"/>
    <w:rsid w:val="00650C4D"/>
    <w:rsid w:val="00653A9A"/>
    <w:rsid w:val="006545C0"/>
    <w:rsid w:val="00654742"/>
    <w:rsid w:val="00656515"/>
    <w:rsid w:val="006607E2"/>
    <w:rsid w:val="00661820"/>
    <w:rsid w:val="006622BA"/>
    <w:rsid w:val="00663164"/>
    <w:rsid w:val="006642B3"/>
    <w:rsid w:val="00665826"/>
    <w:rsid w:val="006679E1"/>
    <w:rsid w:val="00667A97"/>
    <w:rsid w:val="0067043C"/>
    <w:rsid w:val="00671EE7"/>
    <w:rsid w:val="00675E82"/>
    <w:rsid w:val="0067794D"/>
    <w:rsid w:val="00684FF9"/>
    <w:rsid w:val="00692996"/>
    <w:rsid w:val="00695337"/>
    <w:rsid w:val="006A0C98"/>
    <w:rsid w:val="006A246A"/>
    <w:rsid w:val="006A4883"/>
    <w:rsid w:val="006A6A6A"/>
    <w:rsid w:val="006B266B"/>
    <w:rsid w:val="006B329D"/>
    <w:rsid w:val="006B3F3F"/>
    <w:rsid w:val="006D055C"/>
    <w:rsid w:val="006D0690"/>
    <w:rsid w:val="006D2C08"/>
    <w:rsid w:val="006D4D73"/>
    <w:rsid w:val="006D77D4"/>
    <w:rsid w:val="006E5E87"/>
    <w:rsid w:val="006E5F92"/>
    <w:rsid w:val="006E7F70"/>
    <w:rsid w:val="006F02A8"/>
    <w:rsid w:val="006F329F"/>
    <w:rsid w:val="006F7F41"/>
    <w:rsid w:val="007000F9"/>
    <w:rsid w:val="007015B0"/>
    <w:rsid w:val="00703995"/>
    <w:rsid w:val="00705741"/>
    <w:rsid w:val="00705D50"/>
    <w:rsid w:val="0071224F"/>
    <w:rsid w:val="00712886"/>
    <w:rsid w:val="00713830"/>
    <w:rsid w:val="00713F06"/>
    <w:rsid w:val="007163B6"/>
    <w:rsid w:val="007234DB"/>
    <w:rsid w:val="00723A67"/>
    <w:rsid w:val="00731265"/>
    <w:rsid w:val="007378D7"/>
    <w:rsid w:val="0074048C"/>
    <w:rsid w:val="007409C5"/>
    <w:rsid w:val="00741985"/>
    <w:rsid w:val="00746527"/>
    <w:rsid w:val="00746D10"/>
    <w:rsid w:val="00747610"/>
    <w:rsid w:val="007505F0"/>
    <w:rsid w:val="00754CB6"/>
    <w:rsid w:val="00755805"/>
    <w:rsid w:val="00757D3F"/>
    <w:rsid w:val="007611F2"/>
    <w:rsid w:val="00765D4A"/>
    <w:rsid w:val="007708DC"/>
    <w:rsid w:val="00773254"/>
    <w:rsid w:val="007776C0"/>
    <w:rsid w:val="0078065D"/>
    <w:rsid w:val="00782CD1"/>
    <w:rsid w:val="00784865"/>
    <w:rsid w:val="00784C09"/>
    <w:rsid w:val="00785BF4"/>
    <w:rsid w:val="00790C28"/>
    <w:rsid w:val="007915F4"/>
    <w:rsid w:val="00792A96"/>
    <w:rsid w:val="00797049"/>
    <w:rsid w:val="007A01A5"/>
    <w:rsid w:val="007A2880"/>
    <w:rsid w:val="007A71A1"/>
    <w:rsid w:val="007B25CD"/>
    <w:rsid w:val="007C21B6"/>
    <w:rsid w:val="007C4F91"/>
    <w:rsid w:val="007C5A37"/>
    <w:rsid w:val="007C6D73"/>
    <w:rsid w:val="007D0661"/>
    <w:rsid w:val="007D3B59"/>
    <w:rsid w:val="007E02A6"/>
    <w:rsid w:val="007E1DDD"/>
    <w:rsid w:val="007E347B"/>
    <w:rsid w:val="007E5905"/>
    <w:rsid w:val="007E6A5E"/>
    <w:rsid w:val="007E7F72"/>
    <w:rsid w:val="007F40CA"/>
    <w:rsid w:val="007F6C9A"/>
    <w:rsid w:val="007F6F8A"/>
    <w:rsid w:val="00801AB3"/>
    <w:rsid w:val="0080421E"/>
    <w:rsid w:val="00805985"/>
    <w:rsid w:val="00812573"/>
    <w:rsid w:val="00812BE2"/>
    <w:rsid w:val="00816C28"/>
    <w:rsid w:val="00816D07"/>
    <w:rsid w:val="008202F1"/>
    <w:rsid w:val="008236D8"/>
    <w:rsid w:val="00823C23"/>
    <w:rsid w:val="00831BBE"/>
    <w:rsid w:val="0083379C"/>
    <w:rsid w:val="00837665"/>
    <w:rsid w:val="00840B9B"/>
    <w:rsid w:val="00846FC9"/>
    <w:rsid w:val="008477CF"/>
    <w:rsid w:val="00851C42"/>
    <w:rsid w:val="00853057"/>
    <w:rsid w:val="008612CF"/>
    <w:rsid w:val="00863E6D"/>
    <w:rsid w:val="00866D30"/>
    <w:rsid w:val="00867B1F"/>
    <w:rsid w:val="008817E1"/>
    <w:rsid w:val="00881C81"/>
    <w:rsid w:val="008830D7"/>
    <w:rsid w:val="00883BB1"/>
    <w:rsid w:val="00891426"/>
    <w:rsid w:val="008A04DA"/>
    <w:rsid w:val="008A36F3"/>
    <w:rsid w:val="008A69A9"/>
    <w:rsid w:val="008A6CF6"/>
    <w:rsid w:val="008C387D"/>
    <w:rsid w:val="008C4CC0"/>
    <w:rsid w:val="008C5C53"/>
    <w:rsid w:val="008C714A"/>
    <w:rsid w:val="008D4F26"/>
    <w:rsid w:val="008D634F"/>
    <w:rsid w:val="008D6565"/>
    <w:rsid w:val="008D6CD7"/>
    <w:rsid w:val="008E0F93"/>
    <w:rsid w:val="008E19D9"/>
    <w:rsid w:val="008E2934"/>
    <w:rsid w:val="008E5D35"/>
    <w:rsid w:val="008E6888"/>
    <w:rsid w:val="008F3B7D"/>
    <w:rsid w:val="00901781"/>
    <w:rsid w:val="009022E0"/>
    <w:rsid w:val="0090302B"/>
    <w:rsid w:val="00912D59"/>
    <w:rsid w:val="009132C9"/>
    <w:rsid w:val="00914E8B"/>
    <w:rsid w:val="0091548F"/>
    <w:rsid w:val="009169E1"/>
    <w:rsid w:val="00924169"/>
    <w:rsid w:val="00925FD9"/>
    <w:rsid w:val="009326A5"/>
    <w:rsid w:val="00933878"/>
    <w:rsid w:val="00933C5B"/>
    <w:rsid w:val="0093579C"/>
    <w:rsid w:val="00941983"/>
    <w:rsid w:val="00943E8F"/>
    <w:rsid w:val="0094438E"/>
    <w:rsid w:val="009567B5"/>
    <w:rsid w:val="009622EC"/>
    <w:rsid w:val="00963A56"/>
    <w:rsid w:val="0096714C"/>
    <w:rsid w:val="009726CC"/>
    <w:rsid w:val="00974F88"/>
    <w:rsid w:val="00977A6F"/>
    <w:rsid w:val="009802FB"/>
    <w:rsid w:val="00987708"/>
    <w:rsid w:val="00994173"/>
    <w:rsid w:val="00994C6C"/>
    <w:rsid w:val="00996487"/>
    <w:rsid w:val="009A21C8"/>
    <w:rsid w:val="009A254B"/>
    <w:rsid w:val="009A32EF"/>
    <w:rsid w:val="009A3421"/>
    <w:rsid w:val="009A4589"/>
    <w:rsid w:val="009A45B9"/>
    <w:rsid w:val="009A45EE"/>
    <w:rsid w:val="009A68B5"/>
    <w:rsid w:val="009B39E3"/>
    <w:rsid w:val="009B3FFC"/>
    <w:rsid w:val="009B5248"/>
    <w:rsid w:val="009B5518"/>
    <w:rsid w:val="009B6256"/>
    <w:rsid w:val="009C1759"/>
    <w:rsid w:val="009D0C09"/>
    <w:rsid w:val="009D22D6"/>
    <w:rsid w:val="009D30B1"/>
    <w:rsid w:val="009D6628"/>
    <w:rsid w:val="009E0413"/>
    <w:rsid w:val="009E141C"/>
    <w:rsid w:val="009E5BEB"/>
    <w:rsid w:val="009E7962"/>
    <w:rsid w:val="009F2F08"/>
    <w:rsid w:val="009F43D5"/>
    <w:rsid w:val="00A00CEC"/>
    <w:rsid w:val="00A06BB1"/>
    <w:rsid w:val="00A10648"/>
    <w:rsid w:val="00A21C1B"/>
    <w:rsid w:val="00A26A61"/>
    <w:rsid w:val="00A32623"/>
    <w:rsid w:val="00A33CD0"/>
    <w:rsid w:val="00A354D2"/>
    <w:rsid w:val="00A36336"/>
    <w:rsid w:val="00A37B54"/>
    <w:rsid w:val="00A41C1B"/>
    <w:rsid w:val="00A5001F"/>
    <w:rsid w:val="00A517E0"/>
    <w:rsid w:val="00A523DF"/>
    <w:rsid w:val="00A526B6"/>
    <w:rsid w:val="00A60586"/>
    <w:rsid w:val="00A60A0D"/>
    <w:rsid w:val="00A62CE8"/>
    <w:rsid w:val="00A6392D"/>
    <w:rsid w:val="00A63A33"/>
    <w:rsid w:val="00A646FE"/>
    <w:rsid w:val="00A6483A"/>
    <w:rsid w:val="00A64ABE"/>
    <w:rsid w:val="00A66AC9"/>
    <w:rsid w:val="00A73991"/>
    <w:rsid w:val="00A747AB"/>
    <w:rsid w:val="00A81FDB"/>
    <w:rsid w:val="00A83E13"/>
    <w:rsid w:val="00A9165C"/>
    <w:rsid w:val="00A94948"/>
    <w:rsid w:val="00A967D2"/>
    <w:rsid w:val="00AA1B8A"/>
    <w:rsid w:val="00AB09DC"/>
    <w:rsid w:val="00AB14D6"/>
    <w:rsid w:val="00AB46C3"/>
    <w:rsid w:val="00AC113F"/>
    <w:rsid w:val="00AC545B"/>
    <w:rsid w:val="00AC7041"/>
    <w:rsid w:val="00AC798A"/>
    <w:rsid w:val="00AD19B7"/>
    <w:rsid w:val="00AD3BEB"/>
    <w:rsid w:val="00AD4665"/>
    <w:rsid w:val="00AE6C9A"/>
    <w:rsid w:val="00AE7D78"/>
    <w:rsid w:val="00AF29E5"/>
    <w:rsid w:val="00AF3466"/>
    <w:rsid w:val="00AF5993"/>
    <w:rsid w:val="00AF6665"/>
    <w:rsid w:val="00B01369"/>
    <w:rsid w:val="00B051BA"/>
    <w:rsid w:val="00B13388"/>
    <w:rsid w:val="00B139AB"/>
    <w:rsid w:val="00B151DE"/>
    <w:rsid w:val="00B21BD0"/>
    <w:rsid w:val="00B233D6"/>
    <w:rsid w:val="00B24FE5"/>
    <w:rsid w:val="00B25FE1"/>
    <w:rsid w:val="00B2790F"/>
    <w:rsid w:val="00B35C00"/>
    <w:rsid w:val="00B35F5B"/>
    <w:rsid w:val="00B51134"/>
    <w:rsid w:val="00B57ECB"/>
    <w:rsid w:val="00B63743"/>
    <w:rsid w:val="00B64301"/>
    <w:rsid w:val="00B67AD4"/>
    <w:rsid w:val="00B7027A"/>
    <w:rsid w:val="00B739F6"/>
    <w:rsid w:val="00B760EA"/>
    <w:rsid w:val="00B82130"/>
    <w:rsid w:val="00B8680C"/>
    <w:rsid w:val="00B87DF5"/>
    <w:rsid w:val="00B9240F"/>
    <w:rsid w:val="00B93807"/>
    <w:rsid w:val="00B94036"/>
    <w:rsid w:val="00B9596D"/>
    <w:rsid w:val="00BA42BA"/>
    <w:rsid w:val="00BA496D"/>
    <w:rsid w:val="00BA7CC7"/>
    <w:rsid w:val="00BA7DEC"/>
    <w:rsid w:val="00BB04C9"/>
    <w:rsid w:val="00BB08BB"/>
    <w:rsid w:val="00BB38E0"/>
    <w:rsid w:val="00BB4188"/>
    <w:rsid w:val="00BC07CF"/>
    <w:rsid w:val="00BC3B72"/>
    <w:rsid w:val="00BC4054"/>
    <w:rsid w:val="00BC4240"/>
    <w:rsid w:val="00BC63CC"/>
    <w:rsid w:val="00BD32C5"/>
    <w:rsid w:val="00BD430A"/>
    <w:rsid w:val="00BD59B4"/>
    <w:rsid w:val="00BE3521"/>
    <w:rsid w:val="00BE6D9D"/>
    <w:rsid w:val="00BF3B3A"/>
    <w:rsid w:val="00BF47AA"/>
    <w:rsid w:val="00C00D48"/>
    <w:rsid w:val="00C011EE"/>
    <w:rsid w:val="00C02388"/>
    <w:rsid w:val="00C02F40"/>
    <w:rsid w:val="00C123F8"/>
    <w:rsid w:val="00C146FF"/>
    <w:rsid w:val="00C17F99"/>
    <w:rsid w:val="00C21F52"/>
    <w:rsid w:val="00C22F0C"/>
    <w:rsid w:val="00C23542"/>
    <w:rsid w:val="00C24CA3"/>
    <w:rsid w:val="00C25D11"/>
    <w:rsid w:val="00C273C1"/>
    <w:rsid w:val="00C27766"/>
    <w:rsid w:val="00C32400"/>
    <w:rsid w:val="00C34CB0"/>
    <w:rsid w:val="00C3590B"/>
    <w:rsid w:val="00C36022"/>
    <w:rsid w:val="00C456C1"/>
    <w:rsid w:val="00C46F6A"/>
    <w:rsid w:val="00C47402"/>
    <w:rsid w:val="00C47B7E"/>
    <w:rsid w:val="00C5246F"/>
    <w:rsid w:val="00C60F88"/>
    <w:rsid w:val="00C6630A"/>
    <w:rsid w:val="00C7508A"/>
    <w:rsid w:val="00C757BF"/>
    <w:rsid w:val="00C75C97"/>
    <w:rsid w:val="00C764D1"/>
    <w:rsid w:val="00C76A5F"/>
    <w:rsid w:val="00C80706"/>
    <w:rsid w:val="00C809A7"/>
    <w:rsid w:val="00C824B1"/>
    <w:rsid w:val="00C86856"/>
    <w:rsid w:val="00C91196"/>
    <w:rsid w:val="00C91F09"/>
    <w:rsid w:val="00C925A7"/>
    <w:rsid w:val="00C93B0B"/>
    <w:rsid w:val="00C946C4"/>
    <w:rsid w:val="00C96189"/>
    <w:rsid w:val="00C9702A"/>
    <w:rsid w:val="00CA053D"/>
    <w:rsid w:val="00CA7E63"/>
    <w:rsid w:val="00CB34A9"/>
    <w:rsid w:val="00CB494A"/>
    <w:rsid w:val="00CB4D51"/>
    <w:rsid w:val="00CB7196"/>
    <w:rsid w:val="00CC0747"/>
    <w:rsid w:val="00CC3355"/>
    <w:rsid w:val="00CC3EAE"/>
    <w:rsid w:val="00CC4194"/>
    <w:rsid w:val="00CD34A8"/>
    <w:rsid w:val="00CD7A02"/>
    <w:rsid w:val="00CE16E0"/>
    <w:rsid w:val="00CE33D6"/>
    <w:rsid w:val="00CE6076"/>
    <w:rsid w:val="00CF1250"/>
    <w:rsid w:val="00CF3130"/>
    <w:rsid w:val="00CF4231"/>
    <w:rsid w:val="00CF4AEC"/>
    <w:rsid w:val="00CF651C"/>
    <w:rsid w:val="00CF7697"/>
    <w:rsid w:val="00D013C7"/>
    <w:rsid w:val="00D0416C"/>
    <w:rsid w:val="00D0527C"/>
    <w:rsid w:val="00D11D47"/>
    <w:rsid w:val="00D14B29"/>
    <w:rsid w:val="00D211AA"/>
    <w:rsid w:val="00D22FAB"/>
    <w:rsid w:val="00D23D58"/>
    <w:rsid w:val="00D25768"/>
    <w:rsid w:val="00D26324"/>
    <w:rsid w:val="00D27225"/>
    <w:rsid w:val="00D304C1"/>
    <w:rsid w:val="00D371A1"/>
    <w:rsid w:val="00D373B4"/>
    <w:rsid w:val="00D379DC"/>
    <w:rsid w:val="00D37BAE"/>
    <w:rsid w:val="00D44C01"/>
    <w:rsid w:val="00D47ADF"/>
    <w:rsid w:val="00D517B0"/>
    <w:rsid w:val="00D53DCB"/>
    <w:rsid w:val="00D54230"/>
    <w:rsid w:val="00D714B0"/>
    <w:rsid w:val="00D72D67"/>
    <w:rsid w:val="00D73AA7"/>
    <w:rsid w:val="00D75B00"/>
    <w:rsid w:val="00D81AFB"/>
    <w:rsid w:val="00D85751"/>
    <w:rsid w:val="00D93ADC"/>
    <w:rsid w:val="00DA0995"/>
    <w:rsid w:val="00DA0B1A"/>
    <w:rsid w:val="00DA4456"/>
    <w:rsid w:val="00DB23B1"/>
    <w:rsid w:val="00DB672D"/>
    <w:rsid w:val="00DB6FD2"/>
    <w:rsid w:val="00DC2860"/>
    <w:rsid w:val="00DC7947"/>
    <w:rsid w:val="00DD1F58"/>
    <w:rsid w:val="00DD2853"/>
    <w:rsid w:val="00DD6D13"/>
    <w:rsid w:val="00DE02BD"/>
    <w:rsid w:val="00DE1EAF"/>
    <w:rsid w:val="00DE5D40"/>
    <w:rsid w:val="00DE7ECC"/>
    <w:rsid w:val="00DE7F17"/>
    <w:rsid w:val="00DF0736"/>
    <w:rsid w:val="00DF0A0B"/>
    <w:rsid w:val="00DF47F6"/>
    <w:rsid w:val="00DF5B8C"/>
    <w:rsid w:val="00DF6C5E"/>
    <w:rsid w:val="00E006A0"/>
    <w:rsid w:val="00E006B6"/>
    <w:rsid w:val="00E00D0B"/>
    <w:rsid w:val="00E013F6"/>
    <w:rsid w:val="00E03270"/>
    <w:rsid w:val="00E035BB"/>
    <w:rsid w:val="00E04986"/>
    <w:rsid w:val="00E0771B"/>
    <w:rsid w:val="00E1362F"/>
    <w:rsid w:val="00E153C9"/>
    <w:rsid w:val="00E227D2"/>
    <w:rsid w:val="00E22A1A"/>
    <w:rsid w:val="00E23340"/>
    <w:rsid w:val="00E413ED"/>
    <w:rsid w:val="00E4451C"/>
    <w:rsid w:val="00E47414"/>
    <w:rsid w:val="00E5173A"/>
    <w:rsid w:val="00E55C69"/>
    <w:rsid w:val="00E61DE6"/>
    <w:rsid w:val="00E62731"/>
    <w:rsid w:val="00E64387"/>
    <w:rsid w:val="00E653AC"/>
    <w:rsid w:val="00E66953"/>
    <w:rsid w:val="00E67A6C"/>
    <w:rsid w:val="00E67E3A"/>
    <w:rsid w:val="00E712A7"/>
    <w:rsid w:val="00E7316C"/>
    <w:rsid w:val="00E7543A"/>
    <w:rsid w:val="00E76558"/>
    <w:rsid w:val="00E81483"/>
    <w:rsid w:val="00E8362B"/>
    <w:rsid w:val="00E83D89"/>
    <w:rsid w:val="00E94113"/>
    <w:rsid w:val="00E944E1"/>
    <w:rsid w:val="00EA0EB4"/>
    <w:rsid w:val="00EA423A"/>
    <w:rsid w:val="00EA6E8B"/>
    <w:rsid w:val="00EB0CE5"/>
    <w:rsid w:val="00EB160B"/>
    <w:rsid w:val="00EB33E9"/>
    <w:rsid w:val="00EB3CA7"/>
    <w:rsid w:val="00EB6A64"/>
    <w:rsid w:val="00EC1370"/>
    <w:rsid w:val="00EC1DC8"/>
    <w:rsid w:val="00EC2DCF"/>
    <w:rsid w:val="00EC3961"/>
    <w:rsid w:val="00EC3ED2"/>
    <w:rsid w:val="00ED7B4B"/>
    <w:rsid w:val="00EE2EEC"/>
    <w:rsid w:val="00EE2FCC"/>
    <w:rsid w:val="00EE5347"/>
    <w:rsid w:val="00EE67F1"/>
    <w:rsid w:val="00EF305E"/>
    <w:rsid w:val="00EF5195"/>
    <w:rsid w:val="00EF521A"/>
    <w:rsid w:val="00EF5534"/>
    <w:rsid w:val="00EF59FD"/>
    <w:rsid w:val="00F0221E"/>
    <w:rsid w:val="00F05857"/>
    <w:rsid w:val="00F1144F"/>
    <w:rsid w:val="00F260C4"/>
    <w:rsid w:val="00F27CD2"/>
    <w:rsid w:val="00F27DBE"/>
    <w:rsid w:val="00F31A23"/>
    <w:rsid w:val="00F36095"/>
    <w:rsid w:val="00F410EB"/>
    <w:rsid w:val="00F45B29"/>
    <w:rsid w:val="00F62296"/>
    <w:rsid w:val="00F629BD"/>
    <w:rsid w:val="00F714CD"/>
    <w:rsid w:val="00F749A5"/>
    <w:rsid w:val="00F7683F"/>
    <w:rsid w:val="00F80319"/>
    <w:rsid w:val="00F81AFD"/>
    <w:rsid w:val="00F82023"/>
    <w:rsid w:val="00F868A6"/>
    <w:rsid w:val="00F877EB"/>
    <w:rsid w:val="00F92A5F"/>
    <w:rsid w:val="00F961D9"/>
    <w:rsid w:val="00F97714"/>
    <w:rsid w:val="00FA025B"/>
    <w:rsid w:val="00FA173B"/>
    <w:rsid w:val="00FA2888"/>
    <w:rsid w:val="00FA2F8F"/>
    <w:rsid w:val="00FA3879"/>
    <w:rsid w:val="00FA558C"/>
    <w:rsid w:val="00FB502B"/>
    <w:rsid w:val="00FB6F67"/>
    <w:rsid w:val="00FC1DF4"/>
    <w:rsid w:val="00FC3B77"/>
    <w:rsid w:val="00FC3C59"/>
    <w:rsid w:val="00FC4CBB"/>
    <w:rsid w:val="00FC5C58"/>
    <w:rsid w:val="00FD1183"/>
    <w:rsid w:val="00FD413A"/>
    <w:rsid w:val="00FD44AD"/>
    <w:rsid w:val="00FD6677"/>
    <w:rsid w:val="00FE191B"/>
    <w:rsid w:val="00FE5F29"/>
    <w:rsid w:val="00FE6AA0"/>
    <w:rsid w:val="00FF2756"/>
    <w:rsid w:val="00FF4F6E"/>
    <w:rsid w:val="00FF5500"/>
    <w:rsid w:val="00FF60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A985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5EE"/>
    <w:pPr>
      <w:spacing w:after="0" w:line="480" w:lineRule="auto"/>
    </w:pPr>
    <w:rPr>
      <w:rFonts w:ascii="Times New Roman" w:hAnsi="Times New Roman"/>
      <w:sz w:val="24"/>
    </w:rPr>
  </w:style>
  <w:style w:type="paragraph" w:styleId="Heading1">
    <w:name w:val="heading 1"/>
    <w:basedOn w:val="Normal"/>
    <w:next w:val="Normal"/>
    <w:link w:val="Heading1Char"/>
    <w:uiPriority w:val="9"/>
    <w:qFormat/>
    <w:rsid w:val="00A66AC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1619E"/>
    <w:pPr>
      <w:spacing w:after="0" w:line="240" w:lineRule="auto"/>
    </w:pPr>
    <w:rPr>
      <w:rFonts w:ascii="Times New Roman" w:eastAsia="Times New Roman" w:hAnsi="Times New Roman" w:cs="Times New Roman"/>
      <w:bC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B25CD"/>
    <w:rPr>
      <w:color w:val="0563C1" w:themeColor="hyperlink"/>
      <w:u w:val="single"/>
    </w:rPr>
  </w:style>
  <w:style w:type="character" w:styleId="UnresolvedMention">
    <w:name w:val="Unresolved Mention"/>
    <w:basedOn w:val="DefaultParagraphFont"/>
    <w:uiPriority w:val="99"/>
    <w:semiHidden/>
    <w:unhideWhenUsed/>
    <w:rsid w:val="007B25CD"/>
    <w:rPr>
      <w:color w:val="605E5C"/>
      <w:shd w:val="clear" w:color="auto" w:fill="E1DFDD"/>
    </w:rPr>
  </w:style>
  <w:style w:type="paragraph" w:styleId="ListParagraph">
    <w:name w:val="List Paragraph"/>
    <w:basedOn w:val="Normal"/>
    <w:uiPriority w:val="34"/>
    <w:qFormat/>
    <w:rsid w:val="00015ED1"/>
    <w:pPr>
      <w:ind w:left="720"/>
      <w:contextualSpacing/>
    </w:pPr>
  </w:style>
  <w:style w:type="paragraph" w:styleId="FootnoteText">
    <w:name w:val="footnote text"/>
    <w:basedOn w:val="Normal"/>
    <w:link w:val="FootnoteTextChar"/>
    <w:uiPriority w:val="99"/>
    <w:semiHidden/>
    <w:unhideWhenUsed/>
    <w:rsid w:val="00134B94"/>
    <w:pPr>
      <w:spacing w:after="120" w:line="240" w:lineRule="auto"/>
      <w:ind w:firstLine="720"/>
      <w:jc w:val="both"/>
    </w:pPr>
    <w:rPr>
      <w:sz w:val="20"/>
      <w:szCs w:val="20"/>
    </w:rPr>
  </w:style>
  <w:style w:type="character" w:customStyle="1" w:styleId="FootnoteTextChar">
    <w:name w:val="Footnote Text Char"/>
    <w:basedOn w:val="DefaultParagraphFont"/>
    <w:link w:val="FootnoteText"/>
    <w:uiPriority w:val="99"/>
    <w:semiHidden/>
    <w:rsid w:val="00134B94"/>
    <w:rPr>
      <w:rFonts w:ascii="Times New Roman" w:hAnsi="Times New Roman"/>
      <w:sz w:val="20"/>
      <w:szCs w:val="20"/>
    </w:rPr>
  </w:style>
  <w:style w:type="character" w:styleId="FootnoteReference">
    <w:name w:val="footnote reference"/>
    <w:basedOn w:val="DefaultParagraphFont"/>
    <w:uiPriority w:val="99"/>
    <w:semiHidden/>
    <w:unhideWhenUsed/>
    <w:rsid w:val="00EF521A"/>
    <w:rPr>
      <w:rFonts w:ascii="Times New Roman" w:hAnsi="Times New Roman"/>
      <w:sz w:val="20"/>
      <w:vertAlign w:val="superscript"/>
    </w:rPr>
  </w:style>
  <w:style w:type="character" w:styleId="CommentReference">
    <w:name w:val="annotation reference"/>
    <w:basedOn w:val="DefaultParagraphFont"/>
    <w:uiPriority w:val="99"/>
    <w:semiHidden/>
    <w:unhideWhenUsed/>
    <w:rsid w:val="003C502E"/>
    <w:rPr>
      <w:sz w:val="16"/>
      <w:szCs w:val="16"/>
    </w:rPr>
  </w:style>
  <w:style w:type="paragraph" w:styleId="CommentText">
    <w:name w:val="annotation text"/>
    <w:basedOn w:val="Normal"/>
    <w:link w:val="CommentTextChar"/>
    <w:uiPriority w:val="99"/>
    <w:unhideWhenUsed/>
    <w:rsid w:val="003C502E"/>
    <w:pPr>
      <w:spacing w:line="240" w:lineRule="auto"/>
    </w:pPr>
    <w:rPr>
      <w:sz w:val="20"/>
      <w:szCs w:val="20"/>
    </w:rPr>
  </w:style>
  <w:style w:type="character" w:customStyle="1" w:styleId="CommentTextChar">
    <w:name w:val="Comment Text Char"/>
    <w:basedOn w:val="DefaultParagraphFont"/>
    <w:link w:val="CommentText"/>
    <w:uiPriority w:val="99"/>
    <w:rsid w:val="003C502E"/>
    <w:rPr>
      <w:sz w:val="20"/>
      <w:szCs w:val="20"/>
    </w:rPr>
  </w:style>
  <w:style w:type="paragraph" w:styleId="CommentSubject">
    <w:name w:val="annotation subject"/>
    <w:basedOn w:val="CommentText"/>
    <w:next w:val="CommentText"/>
    <w:link w:val="CommentSubjectChar"/>
    <w:uiPriority w:val="99"/>
    <w:semiHidden/>
    <w:unhideWhenUsed/>
    <w:rsid w:val="003C502E"/>
    <w:rPr>
      <w:b/>
      <w:bCs/>
    </w:rPr>
  </w:style>
  <w:style w:type="character" w:customStyle="1" w:styleId="CommentSubjectChar">
    <w:name w:val="Comment Subject Char"/>
    <w:basedOn w:val="CommentTextChar"/>
    <w:link w:val="CommentSubject"/>
    <w:uiPriority w:val="99"/>
    <w:semiHidden/>
    <w:rsid w:val="003C502E"/>
    <w:rPr>
      <w:b/>
      <w:bCs/>
      <w:sz w:val="20"/>
      <w:szCs w:val="20"/>
    </w:rPr>
  </w:style>
  <w:style w:type="paragraph" w:styleId="Header">
    <w:name w:val="header"/>
    <w:basedOn w:val="Normal"/>
    <w:link w:val="HeaderChar"/>
    <w:uiPriority w:val="99"/>
    <w:unhideWhenUsed/>
    <w:rsid w:val="00974F88"/>
    <w:pPr>
      <w:tabs>
        <w:tab w:val="center" w:pos="4680"/>
        <w:tab w:val="right" w:pos="9360"/>
      </w:tabs>
      <w:spacing w:line="240" w:lineRule="auto"/>
    </w:pPr>
  </w:style>
  <w:style w:type="character" w:customStyle="1" w:styleId="HeaderChar">
    <w:name w:val="Header Char"/>
    <w:basedOn w:val="DefaultParagraphFont"/>
    <w:link w:val="Header"/>
    <w:uiPriority w:val="99"/>
    <w:rsid w:val="00974F88"/>
  </w:style>
  <w:style w:type="paragraph" w:styleId="Footer">
    <w:name w:val="footer"/>
    <w:basedOn w:val="Normal"/>
    <w:link w:val="FooterChar"/>
    <w:uiPriority w:val="99"/>
    <w:unhideWhenUsed/>
    <w:rsid w:val="00974F88"/>
    <w:pPr>
      <w:tabs>
        <w:tab w:val="center" w:pos="4680"/>
        <w:tab w:val="right" w:pos="9360"/>
      </w:tabs>
      <w:spacing w:line="240" w:lineRule="auto"/>
    </w:pPr>
  </w:style>
  <w:style w:type="character" w:customStyle="1" w:styleId="FooterChar">
    <w:name w:val="Footer Char"/>
    <w:basedOn w:val="DefaultParagraphFont"/>
    <w:link w:val="Footer"/>
    <w:uiPriority w:val="99"/>
    <w:rsid w:val="00974F88"/>
  </w:style>
  <w:style w:type="paragraph" w:styleId="Revision">
    <w:name w:val="Revision"/>
    <w:hidden/>
    <w:uiPriority w:val="99"/>
    <w:semiHidden/>
    <w:rsid w:val="00D22FAB"/>
    <w:pPr>
      <w:spacing w:after="0" w:line="240" w:lineRule="auto"/>
    </w:pPr>
  </w:style>
  <w:style w:type="paragraph" w:customStyle="1" w:styleId="CROutline1">
    <w:name w:val="CR Outline1"/>
    <w:next w:val="Normal"/>
    <w:qFormat/>
    <w:rsid w:val="00BE3521"/>
    <w:pPr>
      <w:keepNext/>
      <w:numPr>
        <w:numId w:val="19"/>
      </w:numPr>
      <w:tabs>
        <w:tab w:val="left" w:pos="432"/>
      </w:tabs>
      <w:spacing w:after="240" w:line="240" w:lineRule="auto"/>
      <w:jc w:val="center"/>
      <w:outlineLvl w:val="0"/>
    </w:pPr>
    <w:rPr>
      <w:rFonts w:ascii="Times New Roman" w:eastAsia="Times New Roman" w:hAnsi="Times New Roman" w:cs="Times New Roman"/>
      <w:b/>
      <w:sz w:val="24"/>
      <w:szCs w:val="24"/>
    </w:rPr>
  </w:style>
  <w:style w:type="paragraph" w:customStyle="1" w:styleId="CROutline2">
    <w:name w:val="CR Outline2"/>
    <w:next w:val="Normal"/>
    <w:qFormat/>
    <w:rsid w:val="00BE3521"/>
    <w:pPr>
      <w:keepNext/>
      <w:numPr>
        <w:ilvl w:val="1"/>
        <w:numId w:val="19"/>
      </w:numPr>
      <w:spacing w:after="240" w:line="240" w:lineRule="auto"/>
      <w:jc w:val="both"/>
      <w:outlineLvl w:val="1"/>
    </w:pPr>
    <w:rPr>
      <w:rFonts w:ascii="Times New Roman" w:eastAsia="Times New Roman" w:hAnsi="Times New Roman" w:cs="Times New Roman"/>
      <w:b/>
      <w:sz w:val="24"/>
      <w:szCs w:val="24"/>
    </w:rPr>
  </w:style>
  <w:style w:type="paragraph" w:customStyle="1" w:styleId="CROutline3">
    <w:name w:val="CR Outline3"/>
    <w:next w:val="Normal"/>
    <w:rsid w:val="00BE3521"/>
    <w:pPr>
      <w:keepNext/>
      <w:numPr>
        <w:ilvl w:val="2"/>
        <w:numId w:val="19"/>
      </w:numPr>
      <w:tabs>
        <w:tab w:val="left" w:pos="1440"/>
      </w:tabs>
      <w:spacing w:after="240" w:line="240" w:lineRule="auto"/>
      <w:jc w:val="both"/>
      <w:outlineLvl w:val="2"/>
    </w:pPr>
    <w:rPr>
      <w:rFonts w:ascii="Times New Roman" w:eastAsia="Times New Roman" w:hAnsi="Times New Roman" w:cs="Times New Roman"/>
      <w:b/>
      <w:sz w:val="24"/>
      <w:szCs w:val="24"/>
    </w:rPr>
  </w:style>
  <w:style w:type="paragraph" w:customStyle="1" w:styleId="CROutline4">
    <w:name w:val="CR Outline4"/>
    <w:next w:val="Normal"/>
    <w:rsid w:val="00BE3521"/>
    <w:pPr>
      <w:keepNext/>
      <w:numPr>
        <w:ilvl w:val="3"/>
        <w:numId w:val="19"/>
      </w:numPr>
      <w:tabs>
        <w:tab w:val="left" w:pos="2160"/>
      </w:tabs>
      <w:spacing w:after="240" w:line="240" w:lineRule="auto"/>
      <w:jc w:val="both"/>
      <w:outlineLvl w:val="3"/>
    </w:pPr>
    <w:rPr>
      <w:rFonts w:ascii="Times New Roman" w:eastAsia="Times New Roman" w:hAnsi="Times New Roman" w:cs="Times New Roman"/>
      <w:b/>
      <w:sz w:val="24"/>
      <w:szCs w:val="24"/>
    </w:rPr>
  </w:style>
  <w:style w:type="character" w:customStyle="1" w:styleId="Heading1Char">
    <w:name w:val="Heading 1 Char"/>
    <w:basedOn w:val="DefaultParagraphFont"/>
    <w:link w:val="Heading1"/>
    <w:uiPriority w:val="9"/>
    <w:rsid w:val="00A66AC9"/>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66AC9"/>
    <w:pPr>
      <w:outlineLvl w:val="9"/>
    </w:pPr>
  </w:style>
  <w:style w:type="paragraph" w:styleId="TOC1">
    <w:name w:val="toc 1"/>
    <w:basedOn w:val="Normal"/>
    <w:next w:val="Normal"/>
    <w:autoRedefine/>
    <w:uiPriority w:val="39"/>
    <w:unhideWhenUsed/>
    <w:rsid w:val="002758FC"/>
    <w:pPr>
      <w:tabs>
        <w:tab w:val="left" w:pos="720"/>
        <w:tab w:val="right" w:leader="dot" w:pos="9350"/>
      </w:tabs>
      <w:spacing w:after="100" w:line="240" w:lineRule="auto"/>
    </w:pPr>
    <w:rPr>
      <w:rFonts w:eastAsiaTheme="minorEastAsia"/>
      <w:noProof/>
    </w:rPr>
  </w:style>
  <w:style w:type="paragraph" w:styleId="TOC2">
    <w:name w:val="toc 2"/>
    <w:basedOn w:val="Normal"/>
    <w:next w:val="Normal"/>
    <w:autoRedefine/>
    <w:uiPriority w:val="39"/>
    <w:unhideWhenUsed/>
    <w:rsid w:val="002758FC"/>
    <w:pPr>
      <w:tabs>
        <w:tab w:val="left" w:pos="1440"/>
        <w:tab w:val="right" w:leader="dot" w:pos="9350"/>
      </w:tabs>
      <w:spacing w:after="100" w:line="240" w:lineRule="auto"/>
      <w:ind w:left="720"/>
    </w:pPr>
  </w:style>
  <w:style w:type="paragraph" w:styleId="TOC3">
    <w:name w:val="toc 3"/>
    <w:basedOn w:val="Normal"/>
    <w:next w:val="Normal"/>
    <w:autoRedefine/>
    <w:uiPriority w:val="39"/>
    <w:unhideWhenUsed/>
    <w:rsid w:val="002758FC"/>
    <w:pPr>
      <w:tabs>
        <w:tab w:val="left" w:pos="2160"/>
        <w:tab w:val="right" w:leader="dot" w:pos="9350"/>
      </w:tabs>
      <w:spacing w:after="100" w:line="240" w:lineRule="auto"/>
      <w:ind w:left="1440"/>
    </w:pPr>
  </w:style>
  <w:style w:type="paragraph" w:styleId="TOC4">
    <w:name w:val="toc 4"/>
    <w:basedOn w:val="Normal"/>
    <w:next w:val="Normal"/>
    <w:autoRedefine/>
    <w:uiPriority w:val="39"/>
    <w:unhideWhenUsed/>
    <w:rsid w:val="002758FC"/>
    <w:pPr>
      <w:tabs>
        <w:tab w:val="left" w:pos="2880"/>
        <w:tab w:val="right" w:leader="dot" w:pos="9350"/>
      </w:tabs>
      <w:spacing w:after="100" w:line="240" w:lineRule="auto"/>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163247">
      <w:bodyDiv w:val="1"/>
      <w:marLeft w:val="0"/>
      <w:marRight w:val="0"/>
      <w:marTop w:val="0"/>
      <w:marBottom w:val="0"/>
      <w:divBdr>
        <w:top w:val="none" w:sz="0" w:space="0" w:color="auto"/>
        <w:left w:val="none" w:sz="0" w:space="0" w:color="auto"/>
        <w:bottom w:val="none" w:sz="0" w:space="0" w:color="auto"/>
        <w:right w:val="none" w:sz="0" w:space="0" w:color="auto"/>
      </w:divBdr>
    </w:div>
    <w:div w:id="898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085E0-D317-4572-B934-573320E63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3486</Words>
  <Characters>19873</Characters>
  <Application>Microsoft Office Word</Application>
  <DocSecurity>0</DocSecurity>
  <Lines>165</Lines>
  <Paragraphs>46</Paragraphs>
  <ScaleCrop>false</ScaleCrop>
  <Company/>
  <LinksUpToDate>false</LinksUpToDate>
  <CharactersWithSpaces>23313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2021-05-28T13:55:00Z</dcterms:created>
  <dcterms:modified xsi:type="dcterms:W3CDTF">2021-05-28T15:13:00Z</dcterms:modified>
</cp:coreProperties>
</file>